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2072E" w14:textId="77777777" w:rsidR="00F615B7" w:rsidRPr="00074B9D" w:rsidRDefault="00F615B7" w:rsidP="00233AA2">
      <w:pPr>
        <w:pStyle w:val="Bezodstpw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074B9D">
        <w:rPr>
          <w:rFonts w:ascii="Times New Roman" w:hAnsi="Times New Roman" w:cs="Times New Roman"/>
          <w:color w:val="000000" w:themeColor="text1"/>
          <w:lang w:val="pl-PL"/>
        </w:rPr>
        <w:t>Załącznik</w:t>
      </w:r>
      <w:r w:rsidR="00ED33DB" w:rsidRPr="00074B9D">
        <w:rPr>
          <w:rFonts w:ascii="Times New Roman" w:hAnsi="Times New Roman" w:cs="Times New Roman"/>
          <w:color w:val="000000" w:themeColor="text1"/>
          <w:lang w:val="pl-PL"/>
        </w:rPr>
        <w:t xml:space="preserve"> </w:t>
      </w:r>
      <w:r w:rsidRPr="00074B9D">
        <w:rPr>
          <w:rFonts w:ascii="Times New Roman" w:hAnsi="Times New Roman" w:cs="Times New Roman"/>
          <w:color w:val="000000" w:themeColor="text1"/>
          <w:lang w:val="pl-PL"/>
        </w:rPr>
        <w:t>B.58.</w:t>
      </w:r>
    </w:p>
    <w:p w14:paraId="5A5A34B8" w14:textId="77777777" w:rsidR="00F615B7" w:rsidRPr="00074B9D" w:rsidRDefault="00F615B7" w:rsidP="00233AA2">
      <w:pPr>
        <w:pStyle w:val="Tekstpodstawowy"/>
        <w:spacing w:after="0" w:line="240" w:lineRule="auto"/>
        <w:rPr>
          <w:rFonts w:ascii="Times New Roman" w:hAnsi="Times New Roman" w:cs="Times New Roman"/>
          <w:color w:val="000000" w:themeColor="text1"/>
          <w:lang w:eastAsia="en-US"/>
        </w:rPr>
      </w:pPr>
    </w:p>
    <w:p w14:paraId="51A55BD9" w14:textId="30C4A40F" w:rsidR="00954E7E" w:rsidRPr="00074B9D" w:rsidRDefault="00954E7E" w:rsidP="00233AA2">
      <w:pPr>
        <w:suppressAutoHyphens w:val="0"/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</w:pPr>
      <w:r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CHORYCH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NA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RAKA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PRZEŁYKU</w:t>
      </w:r>
      <w:r w:rsidR="00D26AC5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, POŁĄCZENIA ŻOŁĄDKOWO-PRZEŁYKOWEGO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I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ŻOŁĄDKA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233AA2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ED33DB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C15-</w:t>
      </w:r>
      <w:r w:rsidR="00F615B7"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</w:t>
      </w:r>
      <w:r w:rsidRPr="00074B9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16)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E93DF4" w:rsidRPr="00074B9D" w14:paraId="49BEBAFC" w14:textId="77777777" w:rsidTr="00FC4EAE">
        <w:trPr>
          <w:trHeight w:val="567"/>
        </w:trPr>
        <w:tc>
          <w:tcPr>
            <w:tcW w:w="15388" w:type="dxa"/>
            <w:gridSpan w:val="3"/>
            <w:vAlign w:val="center"/>
          </w:tcPr>
          <w:p w14:paraId="4FC167FA" w14:textId="77777777" w:rsidR="006A68EA" w:rsidRPr="00074B9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ZAKRES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ŚWIADCZENIA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E93DF4" w:rsidRPr="00074B9D" w14:paraId="7884F06C" w14:textId="77777777" w:rsidTr="00ED33DB">
        <w:trPr>
          <w:trHeight w:val="567"/>
        </w:trPr>
        <w:tc>
          <w:tcPr>
            <w:tcW w:w="5665" w:type="dxa"/>
            <w:vAlign w:val="center"/>
          </w:tcPr>
          <w:p w14:paraId="3518353B" w14:textId="77777777" w:rsidR="006A68EA" w:rsidRPr="00074B9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CBEF08C" w14:textId="077643DF" w:rsidR="006A68EA" w:rsidRPr="00074B9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SCHEMAT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LEKU</w:t>
            </w:r>
            <w:r w:rsidR="00E274F2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74F2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441F1C13" w14:textId="098D294E" w:rsidR="006A68EA" w:rsidRPr="00074B9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BADANIA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DIAGNOSTYCZNE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WYKONYWANE</w:t>
            </w:r>
            <w:r w:rsidR="00E274F2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74F2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RAMACH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E93DF4" w:rsidRPr="00074B9D" w14:paraId="1D455467" w14:textId="77777777" w:rsidTr="00FC4EAE">
        <w:trPr>
          <w:trHeight w:val="567"/>
        </w:trPr>
        <w:tc>
          <w:tcPr>
            <w:tcW w:w="15388" w:type="dxa"/>
            <w:gridSpan w:val="3"/>
            <w:vAlign w:val="center"/>
          </w:tcPr>
          <w:p w14:paraId="1F08522D" w14:textId="0E9555B5" w:rsidR="006E0270" w:rsidRPr="00074B9D" w:rsidRDefault="006E0270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PRZEŁYKU</w:t>
            </w:r>
            <w:r w:rsidR="00D26AC5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 POŁĄCZENIA ŻOŁĄDKOWO-PRZEŁYKOWEGO</w:t>
            </w:r>
          </w:p>
        </w:tc>
      </w:tr>
      <w:tr w:rsidR="00E93DF4" w:rsidRPr="00074B9D" w14:paraId="6CF02B61" w14:textId="77777777" w:rsidTr="00FC4EAE">
        <w:trPr>
          <w:trHeight w:val="567"/>
        </w:trPr>
        <w:tc>
          <w:tcPr>
            <w:tcW w:w="15388" w:type="dxa"/>
            <w:gridSpan w:val="3"/>
            <w:vAlign w:val="center"/>
          </w:tcPr>
          <w:p w14:paraId="07C3B4E9" w14:textId="77777777" w:rsidR="00DE67E6" w:rsidRPr="00074B9D" w:rsidRDefault="00DE67E6" w:rsidP="00A05951">
            <w:pPr>
              <w:snapToGrid w:val="0"/>
              <w:spacing w:before="120" w:after="6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Indeks wykorzystanych skrótów:</w:t>
            </w:r>
          </w:p>
          <w:p w14:paraId="6BF4013A" w14:textId="31E7F013" w:rsidR="00DE67E6" w:rsidRPr="00074B9D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AEG - ang. </w:t>
            </w:r>
            <w:proofErr w:type="spellStart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adenocarcinoma</w:t>
            </w:r>
            <w:proofErr w:type="spellEnd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of the </w:t>
            </w:r>
            <w:proofErr w:type="spellStart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esophagogastric</w:t>
            </w:r>
            <w:proofErr w:type="spellEnd"/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junction</w:t>
            </w:r>
            <w:r w:rsidR="00D26A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gruczolakorak połączenia żołądkowo-przełykowego</w:t>
            </w:r>
          </w:p>
          <w:p w14:paraId="0ADFFBFE" w14:textId="77777777" w:rsidR="00DE67E6" w:rsidRPr="00074B9D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EAC - ang. </w:t>
            </w:r>
            <w:proofErr w:type="spellStart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esophageal</w:t>
            </w:r>
            <w:proofErr w:type="spellEnd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adenocarcinoma</w:t>
            </w:r>
            <w:proofErr w:type="spellEnd"/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gruczolakorak przełyku</w:t>
            </w:r>
          </w:p>
          <w:p w14:paraId="33696262" w14:textId="36D907E0" w:rsidR="00DE67E6" w:rsidRPr="00074B9D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ESCC - ang. </w:t>
            </w:r>
            <w:proofErr w:type="spellStart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esophageal</w:t>
            </w:r>
            <w:proofErr w:type="spellEnd"/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squamous</w:t>
            </w:r>
            <w:proofErr w:type="spellEnd"/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cell</w:t>
            </w:r>
            <w:proofErr w:type="spellEnd"/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carcinoma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płaskonabłonkowy rak przełyku</w:t>
            </w:r>
          </w:p>
        </w:tc>
      </w:tr>
      <w:tr w:rsidR="00E93DF4" w:rsidRPr="00074B9D" w14:paraId="1E9FAFA5" w14:textId="77777777" w:rsidTr="00ED33DB">
        <w:trPr>
          <w:trHeight w:val="20"/>
        </w:trPr>
        <w:tc>
          <w:tcPr>
            <w:tcW w:w="5665" w:type="dxa"/>
          </w:tcPr>
          <w:p w14:paraId="54BD2A03" w14:textId="77777777" w:rsidR="00E26413" w:rsidRPr="00074B9D" w:rsidRDefault="00B47FB3" w:rsidP="00FC08AD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finansuje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uzupełniające raka przełyku lub połączenia żołądkowo-przełykowego lub jedną z dwóch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zaawansowanego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przełyku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lub połączenia żołądkowo-przełykowego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</w:t>
            </w:r>
            <w:r w:rsidR="00B026B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7801A601" w14:textId="77777777" w:rsidR="00404EF3" w:rsidRPr="00074B9D" w:rsidRDefault="00404EF3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;</w:t>
            </w:r>
          </w:p>
          <w:p w14:paraId="724A6A4C" w14:textId="77777777" w:rsidR="00B47FB3" w:rsidRPr="00074B9D" w:rsidRDefault="009D7BF9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B47FB3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wolumab</w:t>
            </w:r>
            <w:r w:rsidR="00BB51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;</w:t>
            </w:r>
          </w:p>
          <w:p w14:paraId="1BBDED5A" w14:textId="0FF0A15A" w:rsidR="004B5984" w:rsidRPr="00074B9D" w:rsidRDefault="00BB51B3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</w:t>
            </w:r>
            <w:r w:rsidR="004B5984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;</w:t>
            </w:r>
          </w:p>
          <w:p w14:paraId="2BDCE237" w14:textId="12A646A3" w:rsidR="00BB51B3" w:rsidRPr="00074B9D" w:rsidRDefault="004B5984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tislelizumab</w:t>
            </w:r>
            <w:r w:rsidR="00BB51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53DF3484" w14:textId="77777777" w:rsidR="00BB51B3" w:rsidRPr="00074B9D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34EE924E" w14:textId="77777777" w:rsidR="00BB51B3" w:rsidRPr="00074B9D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uzupełniające raka przełyku lub połączenia żołądkowo-przełykowego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3F6F98D2" w14:textId="77777777" w:rsidR="00BB51B3" w:rsidRPr="00074B9D" w:rsidRDefault="00BB51B3" w:rsidP="00FC08AD">
            <w:pPr>
              <w:pStyle w:val="Akapitzlist"/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adiuwantowe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monoterapii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dorosłych pacjentów z rakiem przełyku (płaskonabłonkowym lub gruczołowym) lub połączenia żołądkowo-przełykowego, z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chorobą resztkową, po wcześniejszej chemioradioterapii neoadiuwantowej.</w:t>
            </w:r>
          </w:p>
          <w:p w14:paraId="37468C01" w14:textId="77777777" w:rsidR="00BB51B3" w:rsidRPr="00074B9D" w:rsidRDefault="00BB51B3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 pacjentów kwalifikowanych do leczenia wymagane jest wcześniejsze zastosowanie chemioradioterapii w leczeniu neoadiuwantowym oraz przeprowadzenie resekcji chirurgicznej (R0), wykonanej nie wcześniej niż 16 tygodni przed włączeniem do programu.</w:t>
            </w:r>
          </w:p>
          <w:p w14:paraId="2875C26E" w14:textId="77777777" w:rsidR="00BB51B3" w:rsidRPr="00074B9D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8B0B50D" w14:textId="77777777" w:rsidR="006A4330" w:rsidRPr="00074B9D" w:rsidRDefault="00000C20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97D1E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zaawansowanego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32A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płaskonabłonkowego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przełyku</w:t>
            </w:r>
            <w:r w:rsidR="00FB1658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(ESCC)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3E1E8B50" w14:textId="1F14AE9E" w:rsidR="00BB51B3" w:rsidRPr="00074B9D" w:rsidRDefault="00BB51B3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zawierającą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pochodną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albo z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dorosłych pacjentów z zaawansowanym nieoperacyjnym, nawrotowym lub przerzutowym płaskonabłonkowym rakiem przełyku </w:t>
            </w:r>
            <w:r w:rsidR="0049358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 ekspresją PDL-1 ≥ 1%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leczenia).</w:t>
            </w:r>
          </w:p>
          <w:p w14:paraId="2DD4B3CB" w14:textId="5D73953D" w:rsidR="001504C0" w:rsidRPr="00074B9D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2C849A38" w14:textId="42889859" w:rsidR="005F4009" w:rsidRPr="00074B9D" w:rsidRDefault="0027220B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77958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CB668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0" w:name="_Hlk89686969"/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skojarzeniu z </w:t>
            </w:r>
            <w:r w:rsidR="00877958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zawierającą</w:t>
            </w:r>
            <w:r w:rsidR="00CB668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77958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pochodną </w:t>
            </w:r>
            <w:r w:rsidR="00877958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="00877958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End w:id="0"/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dorosłych pacjentów</w:t>
            </w:r>
            <w:r w:rsidR="00CB668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1" w:name="_Hlk90641900"/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 miejscowo zaawansowanym </w:t>
            </w:r>
            <w:r w:rsidR="007532A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płaskonabłonkowym </w:t>
            </w:r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rakiem przełyku nieoperacyjnym lub z przerzutami</w:t>
            </w:r>
            <w:bookmarkEnd w:id="1"/>
            <w:r w:rsidR="0049358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ekspresją PDL-1 wg skali CPS ≥ 10 </w:t>
            </w:r>
            <w:r w:rsidR="00B9095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</w:t>
            </w:r>
            <w:r w:rsidR="0087795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61D1954" w14:textId="77777777" w:rsidR="005A510A" w:rsidRPr="00074B9D" w:rsidRDefault="0057214F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 leczenia</w:t>
            </w:r>
            <w:r w:rsidR="00937C3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37C3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kwalifikowani są pacjenci, u których</w:t>
            </w:r>
            <w:r w:rsidR="00F5253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wykluczone jest stosowanie</w:t>
            </w:r>
            <w:r w:rsidR="0027220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wcześniejszego</w:t>
            </w:r>
            <w:r w:rsidR="00F5253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7220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 systemowego</w:t>
            </w:r>
            <w:r w:rsidR="00F5253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powodu</w:t>
            </w:r>
            <w:r w:rsidR="0027220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miejscowo zaawansowanego </w:t>
            </w:r>
            <w:r w:rsidR="007532A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płaskonabłonkowego </w:t>
            </w:r>
            <w:r w:rsidR="0027220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raka przełyku nieoperacyjnego lub z </w:t>
            </w:r>
            <w:r w:rsidR="0027220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przerzutami, </w:t>
            </w:r>
            <w:r w:rsidR="0019203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przy czym </w:t>
            </w:r>
            <w:r w:rsidR="0027220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 leczenie systemowe nie uznaje się wcześniejszej terapii neoadjuwantowej lub adjuwantowej zakończonej w okresie powyżej 6 miesięcy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(stosowanie wcześniejszej immunoterapii wyklucza ponowne jej wykorzystanie).</w:t>
            </w:r>
          </w:p>
          <w:p w14:paraId="3DE0134F" w14:textId="16E3EB7C" w:rsidR="004B5984" w:rsidRPr="00074B9D" w:rsidRDefault="004B5984" w:rsidP="004B5984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zawierającą </w:t>
            </w:r>
            <w:r w:rsidRPr="00074B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pochodną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fluoropirymidynę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pochodną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taksan (paklitaksel)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dorosłych pacjentów z nieoperacyjnym, miejscowo zaawansowanym, lub przerzutowym płaskonabłonkowym rakiem przełyku z ekspresją PD-L1 ≥ 5% (I linia leczenia).</w:t>
            </w:r>
          </w:p>
          <w:p w14:paraId="7E50B231" w14:textId="01394869" w:rsidR="004B5984" w:rsidRPr="00074B9D" w:rsidRDefault="004B5984" w:rsidP="00AC6043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 miesięcy od jej zakończenia (stosowanie wcześniejszej immunoterapii wyklucza ponowne jej wykorzystanie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).</w:t>
            </w:r>
          </w:p>
          <w:p w14:paraId="55619431" w14:textId="77777777" w:rsidR="006A4330" w:rsidRPr="00074B9D" w:rsidRDefault="006A4330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monoterapii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dorosłych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nieoperacyjnym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zaawansowanym,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nawracającym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przerzutowym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rakiem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płaskonabłonkowym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przełyku,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którzy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wcześniej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otrzymywali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chemioterapię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opartą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fluoropirymidyną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leczenia)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B7EEC34" w14:textId="77777777" w:rsidR="00743B44" w:rsidRPr="00074B9D" w:rsidRDefault="00D67D7D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 leczenia kwalifikowani są pacjenci, u których stwier</w:t>
            </w:r>
            <w:r w:rsidR="00D2162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dzono </w:t>
            </w:r>
            <w:r w:rsidR="00743B4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niepowodzenie chemioterapii </w:t>
            </w:r>
            <w:r w:rsidR="00D2162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zastosowanej w </w:t>
            </w:r>
            <w:r w:rsidR="00743B4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pierwszej linii</w:t>
            </w:r>
            <w:r w:rsidR="00D2162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leczenia,</w:t>
            </w:r>
            <w:r w:rsidR="00743B4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opartej na pochodnej </w:t>
            </w:r>
            <w:r w:rsidR="00743B4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743B4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="00743B4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="00743B4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14:paraId="6F38368B" w14:textId="77777777" w:rsidR="00743B44" w:rsidRPr="00074B9D" w:rsidRDefault="00743B44" w:rsidP="00FC08AD">
            <w:pPr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progresja nowotworu lub nieakceptowalna toksyczność podczas w/w chemioterapii prowadząca do przerwania leczenia</w:t>
            </w:r>
          </w:p>
          <w:p w14:paraId="5A91606A" w14:textId="7DF5AD2B" w:rsidR="00743B44" w:rsidRPr="00074B9D" w:rsidRDefault="005613FC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</w:t>
            </w:r>
            <w:r w:rsidR="00743B4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ub</w:t>
            </w:r>
          </w:p>
          <w:p w14:paraId="162CAE55" w14:textId="77777777" w:rsidR="00FD7830" w:rsidRPr="00074B9D" w:rsidRDefault="00743B44" w:rsidP="00FC08AD">
            <w:pPr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progresja nowotworu po zakończeniu w/w chemioterapii</w:t>
            </w:r>
            <w:r w:rsidR="00B8359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B28B4F7" w14:textId="77777777" w:rsidR="00743B44" w:rsidRPr="00074B9D" w:rsidRDefault="00FD783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S</w:t>
            </w:r>
            <w:r w:rsidR="00B8359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tosowanie wcześniejszej immunoterapii wyklucza ponowne jej wykorzystanie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B56C071" w14:textId="5BC5AC66" w:rsidR="002656AB" w:rsidRPr="00074B9D" w:rsidRDefault="002656AB" w:rsidP="002656AB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monoterapii </w:t>
            </w: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dorosłych pacjentów z nieoperacyjnym, miejscowo zaawansowanym lub przerzutowym rakiem płaskonabłonkowym przełyku, którzy wcześniej otrzymali chemioterapię opartą na pochodnych </w:t>
            </w:r>
            <w:r w:rsidRPr="0007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 (II linia leczenia).</w:t>
            </w:r>
          </w:p>
          <w:p w14:paraId="6A216213" w14:textId="77777777" w:rsidR="002656AB" w:rsidRPr="00074B9D" w:rsidRDefault="002656AB" w:rsidP="002656AB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Do leczenia kwalifikowani są pacjenci, u których stwierdzono niepowodzenie chemioterapii zastosowanej w pierwszej linii leczenia, opartej na pochodnej </w:t>
            </w:r>
            <w:r w:rsidRPr="0007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DBC75E1" w14:textId="77777777" w:rsidR="002656AB" w:rsidRPr="00074B9D" w:rsidRDefault="002656AB" w:rsidP="002656AB">
            <w:pPr>
              <w:pStyle w:val="Akapitzlist"/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>progresja nowotworu lub nieakceptowalna toksyczność podczas w/w chemioterapii prowadząca do przerwania leczenia</w:t>
            </w:r>
          </w:p>
          <w:p w14:paraId="7C9EE9F4" w14:textId="5CEDB1AC" w:rsidR="002656AB" w:rsidRPr="00074B9D" w:rsidRDefault="002656AB" w:rsidP="002656AB">
            <w:pPr>
              <w:pStyle w:val="Akapitzlist"/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3B34982" w14:textId="328B74E0" w:rsidR="00E25B4B" w:rsidRPr="00074B9D" w:rsidRDefault="002656AB" w:rsidP="002656AB">
            <w:pPr>
              <w:pStyle w:val="Akapitzlist"/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>progresja nowotworu po zakończeniu w/w chemioterapii. Stosowanie wcześniejszej immunoterapii wyklucza ponowne jej wykorzystanie.</w:t>
            </w:r>
          </w:p>
          <w:p w14:paraId="0F775CD6" w14:textId="77777777" w:rsidR="002656AB" w:rsidRPr="00074B9D" w:rsidRDefault="002656AB" w:rsidP="002656A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80201" w14:textId="77777777" w:rsidR="007532AB" w:rsidRPr="00074B9D" w:rsidRDefault="007532AB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zaawansowanego gruczolakoraka przełyku</w:t>
            </w:r>
            <w:r w:rsidR="00FB1658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(EAC)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lub połączenia żołądkowo-przełykowego </w:t>
            </w:r>
            <w:r w:rsidR="00DC0F0C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(AEG)</w:t>
            </w:r>
            <w:r w:rsidR="00DC0F0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7411AAEA" w14:textId="3981E848" w:rsidR="007532AB" w:rsidRPr="00074B9D" w:rsidRDefault="007532AB" w:rsidP="00FC08AD">
            <w:pPr>
              <w:pStyle w:val="Akapitzlist"/>
              <w:numPr>
                <w:ilvl w:val="3"/>
                <w:numId w:val="11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skojarzoną opartą na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) i pochodnej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oksaliplatynie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kapecytabinie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według schematu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CAPOX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 dorosłych pacjentów z HER2-ujemnym zaawansowanym lub przerzutowym gruczolakorakiem przełyku z ekspresją PD-L1</w:t>
            </w:r>
            <w:r w:rsidR="005C280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wg skali CPS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280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5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</w:t>
            </w:r>
            <w:r w:rsidR="00EC5FB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C2E2809" w14:textId="3F0C50C5" w:rsidR="001504C0" w:rsidRPr="00074B9D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leczenia kwalifikowani są pacjenci wcześniej nieleczeni systemowo z powodu choroby zaawansowanej/przerzutowej. Za leczenie systemowe nie uznaje się wcześniejszej terapii neoadjuwantowej lub adjuwantowej z nawrotem powyżej 6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miesięcy od jej zakończenia (stosowanie wcześniejszej immunoterapii wyklucza ponowne jej wykorzystanie).</w:t>
            </w:r>
          </w:p>
          <w:p w14:paraId="1EE7C229" w14:textId="4FF81037" w:rsidR="007532AB" w:rsidRPr="00074B9D" w:rsidRDefault="007532AB" w:rsidP="00FC08AD">
            <w:pPr>
              <w:pStyle w:val="Akapitzlist"/>
              <w:numPr>
                <w:ilvl w:val="3"/>
                <w:numId w:val="11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zawierającą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pochodną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dorosłych pacjentów z miejscowo zaawansowanym gruczolakorakiem przełyku nieoperacyjnym lub z przerzutami, lub z HER-2 ujemnym gruczolakorakiem połączenia przełykowo-żołądkowego </w:t>
            </w:r>
            <w:r w:rsidR="005C280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 ekspresją PD-L1 wg skali CPS ≥ 10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leczenia).</w:t>
            </w:r>
          </w:p>
          <w:p w14:paraId="3C1054FE" w14:textId="77777777" w:rsidR="007532AB" w:rsidRPr="00074B9D" w:rsidRDefault="007532AB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kwalifikowani są pacjenci, u których wykluczone jest stosowanie wcześniejszego leczenia systemowego z powodu miejscowo zaawansowanego gruczolakoraka przełyku nieoperacyjnego lub z przerzutami, lub HER-2 ujemnego zaawansowanego lub z przerzutami gruczolakoraka połączenia przełykowo-żołądkowego typu I wg klasyfikacji Siewerta, przy czym za leczenie systemowe nie uznaje się wcześniejszej terapii neoadjuwantowej lub adjuwantowej zakończonej w okresie powyżej 6 miesięcy (stosowanie wcześniejszej immunoterapii wyklucza ponowne jej wykorzystanie).</w:t>
            </w:r>
          </w:p>
          <w:p w14:paraId="599973A8" w14:textId="77777777" w:rsidR="00236849" w:rsidRPr="00074B9D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EF6D6A2" w14:textId="2FC9BC66" w:rsidR="00236849" w:rsidRPr="00074B9D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ramach niniejszego programu lekowego istnieje możliwość jednorazowego zastosowania immunoterapii u danego pacjenta z</w:t>
            </w:r>
            <w:r w:rsidR="0041035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wykorzystaniem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albo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410355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1035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albo </w:t>
            </w:r>
            <w:r w:rsidR="00410355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tislelizumabu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E95068E" w14:textId="77777777" w:rsidR="00236849" w:rsidRPr="00074B9D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6293940" w14:textId="77777777" w:rsidR="00802D62" w:rsidRPr="00074B9D" w:rsidRDefault="00362CCA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686008C" w14:textId="77777777" w:rsidR="00555B8B" w:rsidRPr="00074B9D" w:rsidRDefault="00555B8B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wiek 18 lat i powyżej;</w:t>
            </w:r>
          </w:p>
          <w:p w14:paraId="0DCFF2D3" w14:textId="77777777" w:rsidR="00252EF1" w:rsidRPr="00074B9D" w:rsidRDefault="005613FC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</w:t>
            </w:r>
            <w:r w:rsidR="008D236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istologicznie p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otwierdzony</w:t>
            </w:r>
            <w:r w:rsidR="00252EF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7DA334C8" w14:textId="77777777" w:rsidR="00AF2FEF" w:rsidRPr="00074B9D" w:rsidRDefault="00AF2FEF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rak przełyku (płaskonabłonkowy lub gruczołowy) lub połączenia żołądkowo-przełykowego bez przerzutów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odległych z chorobą ocenioną mikroskopowo ≥ ypT1 lub ≥ ypN1</w:t>
            </w:r>
            <w:r w:rsidR="00DC0F0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- dotyczy leczenia uzupełniającego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monoterapii,</w:t>
            </w:r>
          </w:p>
          <w:p w14:paraId="792CDC55" w14:textId="61363C94" w:rsidR="00802D62" w:rsidRPr="00074B9D" w:rsidRDefault="00802D62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płaskonabłonkowy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przełyku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stadium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przerzutowym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nieop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racyjnym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zaawansowaniu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lokoregionalnym</w:t>
            </w:r>
            <w:r w:rsidR="008D236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dotyczy leczenia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ESCC </w:t>
            </w:r>
            <w:r w:rsidR="008D2367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monoterapii lub w skojarzeniu z</w:t>
            </w:r>
            <w:r w:rsidR="000F49E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chemioterapią albo </w:t>
            </w:r>
            <w:r w:rsidR="00BD4D46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90D9680" w14:textId="4C15019C" w:rsidR="00934BD1" w:rsidRPr="00074B9D" w:rsidRDefault="00420A30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płaskonabłonkowy lub gruczołowy rak przełyku miejscowo zaawansowany nieoperacyjny lub z</w:t>
            </w:r>
            <w:r w:rsidR="000F49E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przerzutami, lub gruczołowy HER-2 ujemny zaawansowany lub z przerzutami rak połączenia przełykowo-żołądkowego typu I wg klasyfikacji Siewerta – dotyczy </w:t>
            </w:r>
            <w:r w:rsidR="0057755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leczenia </w:t>
            </w:r>
            <w:r w:rsidR="00577552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0F49E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 z chemioterapią</w:t>
            </w:r>
            <w:r w:rsidR="00EC5FB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FF59EE9" w14:textId="77777777" w:rsidR="00BD61EA" w:rsidRPr="00074B9D" w:rsidRDefault="001365E5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gruczolakorak przełyku nieoperacyjny miejscowo zaawansowany lub przerzutowy –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 EAC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BD61E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29537C73" w14:textId="07294CAF" w:rsidR="001365E5" w:rsidRPr="00074B9D" w:rsidRDefault="00BD61E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rak płaskonabłonkowy przełyku w stadium przerzutowym lub nieoperacyjnym, miejscowo zaawansowanym -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</w:t>
            </w:r>
            <w:r w:rsidR="0025141A"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 monoterapii lub w 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skojarzeniu z chemioterapią</w:t>
            </w:r>
            <w:r w:rsidR="001365E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2DA1A5A" w14:textId="77777777" w:rsidR="002C14FA" w:rsidRPr="00074B9D" w:rsidRDefault="002C14FA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udokumentowana i </w:t>
            </w:r>
            <w:r w:rsidR="007B33A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potwierdzona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zwalidowanym testem </w:t>
            </w:r>
            <w:r w:rsidR="007B33A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ekspresja PD-L1 </w:t>
            </w:r>
            <w:r w:rsidR="006C3F8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tkance nowotworowej wg skali</w:t>
            </w:r>
            <w:r w:rsidR="007B33A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CPS (combined positive score)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0431A89E" w14:textId="549094BA" w:rsidR="002C14FA" w:rsidRPr="00074B9D" w:rsidRDefault="002C14F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≥ 5 w przypadku leczeni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 EAC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0F49E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 z chemioterapią</w:t>
            </w:r>
            <w:r w:rsidR="00EC5FB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01E788A" w14:textId="1536DF06" w:rsidR="0023094B" w:rsidRPr="00074B9D" w:rsidRDefault="007B33A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="005F67E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 </w:t>
            </w:r>
            <w:r w:rsidR="005F67E1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0F49E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 z chemioterapią</w:t>
            </w:r>
            <w:r w:rsidR="005F67E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C030703" w14:textId="77777777" w:rsidR="00AF2FEF" w:rsidRPr="00074B9D" w:rsidRDefault="00AF2FEF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udokumentowana i potwierdzona zwalidowanym testem ekspresja PD-L1 w tkance nowotworowej wg TPS (tumor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proportion score) ≥ 1 % –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ESCC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 albo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CAC9E4D" w14:textId="5B585943" w:rsidR="009403DE" w:rsidRPr="00074B9D" w:rsidRDefault="009403D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udokumentowana i potwierdzona ekspresja PD-L1 w tkance nowotworowej</w:t>
            </w:r>
            <w:r w:rsidRPr="00074B9D">
              <w:rPr>
                <w:rStyle w:val="Odwoaniedokomentarza"/>
                <w:rFonts w:ascii="Calibri" w:eastAsiaTheme="minorEastAsia" w:hAnsi="Calibri" w:cstheme="minorBidi"/>
                <w:lang w:val="en-GB" w:eastAsia="en-GB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≥ 5 % za pomocą przeznaczonego do tego celu testu IVD posiadającego oznakowanie CE. Jeśli oznaczenie za pomocą testu CE IVD nie jest dostępne, należy zastosować alternatywny zwalidowany test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chemioterapią;</w:t>
            </w:r>
          </w:p>
          <w:p w14:paraId="0B30D437" w14:textId="72163A77" w:rsidR="002C14FA" w:rsidRPr="00074B9D" w:rsidRDefault="002C14FA" w:rsidP="00FC08AD">
            <w:pPr>
              <w:pStyle w:val="Akapitzlist"/>
              <w:numPr>
                <w:ilvl w:val="3"/>
                <w:numId w:val="1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udokumentowany brak nadekspresji receptora HER2 w komórkach raka (wynik /0 lub 1+/ w badaniu IHC) lub brak amplifikacji genu HER2 (wynik /-/ w badaniu metodą hybrydyzacji in situ (ISH))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dotyczy leczenia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EAC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4D4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skojarzeniu z chemioterapią</w:t>
            </w:r>
            <w:r w:rsidR="00010E3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oraz leczenia EAC lub AEG </w:t>
            </w:r>
            <w:r w:rsidR="00010E38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B49FFE8" w14:textId="77777777" w:rsidR="00346856" w:rsidRPr="00074B9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10EB5923" w14:textId="77777777" w:rsidR="00815B4F" w:rsidRPr="00074B9D" w:rsidRDefault="00FC4EA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</w:t>
            </w:r>
            <w:r w:rsidR="00815B4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prawność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685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skali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2FC75A86" w14:textId="77777777" w:rsidR="00802D62" w:rsidRPr="00074B9D" w:rsidRDefault="00FC4EA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kortykosteroidami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większej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ekwiwalent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mg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prednizonu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dziennie</w:t>
            </w:r>
            <w:r w:rsidR="000C269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ciągu ostatniego miesiąca;</w:t>
            </w:r>
          </w:p>
          <w:p w14:paraId="0DE8931C" w14:textId="77777777" w:rsidR="00647DC5" w:rsidRPr="00074B9D" w:rsidRDefault="00A825D4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dekwatna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wydolność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narządowa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określona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laboratoryjnych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umożliwiająca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bezpieczne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rozpoczęcie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terapii;</w:t>
            </w:r>
          </w:p>
          <w:p w14:paraId="2E605724" w14:textId="77777777" w:rsidR="00346856" w:rsidRPr="00074B9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przeciwwskazań do stosowania każdego z leków zgodnie z aktualną Charakterystyką Produktu Leczniczego (ChPL);</w:t>
            </w:r>
          </w:p>
          <w:p w14:paraId="40FBBBDF" w14:textId="77777777" w:rsidR="009569EC" w:rsidRPr="00074B9D" w:rsidRDefault="00A825D4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</w:t>
            </w:r>
            <w:r w:rsidR="009569E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ieobecność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objawowych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OUN;</w:t>
            </w:r>
          </w:p>
          <w:p w14:paraId="146331E8" w14:textId="760A6BFD" w:rsidR="00EB1C93" w:rsidRPr="00074B9D" w:rsidRDefault="003477B1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aktywnej choroby autoimmunologicznej wymagającej aktywnego leczenia immunosupresyjnego</w:t>
            </w:r>
            <w:r w:rsidR="00010E38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C7E473B" w14:textId="77777777" w:rsidR="00346856" w:rsidRPr="00074B9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nieobecność istotnych schorzeń współistniejących stanowiących przeciwwskazanie do terapii stwierdzonych przez lekarza prowadzącego w oparciu o aktualne ChPL;</w:t>
            </w:r>
          </w:p>
          <w:p w14:paraId="537F73E1" w14:textId="77777777" w:rsidR="00347260" w:rsidRPr="00074B9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</w:t>
            </w:r>
            <w:r w:rsidR="0038295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innych nowotworów niekontrolowanych leczeniem</w:t>
            </w:r>
            <w:r w:rsidR="00347260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B8D6996" w14:textId="6E74B35B" w:rsidR="00346856" w:rsidRPr="00074B9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zgoda pacjenta na prowadzenie antykoncepcji zgodnie z</w:t>
            </w:r>
            <w:r w:rsidR="00EA10B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aktualną ChPL;</w:t>
            </w:r>
          </w:p>
          <w:p w14:paraId="5B187A14" w14:textId="48833587" w:rsidR="00346856" w:rsidRPr="00074B9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wykluczenie ciąży i okresu karmienia piersią</w:t>
            </w:r>
            <w:r w:rsidR="00EC5FB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5104242" w14:textId="77777777" w:rsidR="001B65AD" w:rsidRPr="00074B9D" w:rsidRDefault="001B65A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6BCAB484" w14:textId="77777777" w:rsidR="00757D8D" w:rsidRPr="00074B9D" w:rsidRDefault="00757D8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7C2449" w14:textId="431763E6" w:rsidR="0021448D" w:rsidRPr="00074B9D" w:rsidRDefault="0021448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Ponadto do programu lekowego kwalifikowani są również pacjenci wymagający kontynuacji leczenia, którzy byli leczeni </w:t>
            </w:r>
            <w:r w:rsidR="009403DE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substancjami czynnymi finansowanymi w programie lekowym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innego sposobu finansowania terapii, za wyjątkiem trwających badań klinicznych</w:t>
            </w:r>
            <w:r w:rsidR="009403DE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tych leków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pod warunkiem, że w chwili rozpoczęcia leczenia spełniali kryteria kwalifikacji do programu lekowego.</w:t>
            </w:r>
          </w:p>
          <w:p w14:paraId="6788F9EE" w14:textId="77777777" w:rsidR="00BA0114" w:rsidRPr="00074B9D" w:rsidRDefault="00BA0114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CE91181" w14:textId="77777777" w:rsidR="00802D62" w:rsidRPr="00074B9D" w:rsidRDefault="00F51FEF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87F67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87F67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645146DF" w14:textId="020CF05A" w:rsidR="001254BC" w:rsidRPr="00074B9D" w:rsidRDefault="001254B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Leczenie</w:t>
            </w:r>
            <w:r w:rsidR="00C105FE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105FE" w:rsidRPr="00074B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niwolumabem</w:t>
            </w:r>
            <w:r w:rsidR="00C105FE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A10BC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monoterapii</w:t>
            </w:r>
            <w:r w:rsidR="00B2748C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(II linia leczenia ESCC)</w:t>
            </w:r>
            <w:r w:rsidR="00EA10BC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105FE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lub </w:t>
            </w:r>
            <w:r w:rsidR="00C105FE" w:rsidRPr="00074B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pembrolizumabem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A10BC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lub </w:t>
            </w:r>
            <w:r w:rsidR="00EA10BC" w:rsidRPr="00074B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tislelizumabem </w:t>
            </w:r>
            <w:r w:rsidR="00EA10BC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monoterapii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trwa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czasu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podjęcia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przez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lekarza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prowadzącego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decyzji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wyłączeniu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świadczeniobiorcy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programu,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zgodnie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kryteriami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wyłączenia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EA10BC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programu</w:t>
            </w:r>
            <w:r w:rsidR="00FD4D84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D18BE04" w14:textId="6081F6B9" w:rsidR="00AF2FEF" w:rsidRPr="00074B9D" w:rsidRDefault="00B2748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F2FEF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F77A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(ESCC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F77A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EAC)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r w:rsidR="00AF2FEF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7A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(ESCC) </w:t>
            </w: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50A0D"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0A0D" w:rsidRPr="0007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tislelizumabem </w:t>
            </w:r>
            <w:r w:rsidR="00950A0D" w:rsidRPr="00074B9D">
              <w:rPr>
                <w:rFonts w:ascii="Times New Roman" w:hAnsi="Times New Roman" w:cs="Times New Roman"/>
                <w:sz w:val="20"/>
                <w:szCs w:val="20"/>
              </w:rPr>
              <w:t>w skojarzeniu z chemioterapią</w:t>
            </w:r>
            <w:r w:rsidRPr="00074B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50A0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pacjentów bez progresji lub niedopuszczalnej toksyczności trwa maksymalnie 24 miesiące.</w:t>
            </w:r>
          </w:p>
          <w:p w14:paraId="593E7399" w14:textId="40BA050A" w:rsidR="00AF2FEF" w:rsidRPr="00074B9D" w:rsidRDefault="00B2748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uzupełniające (adiuwantowe) </w:t>
            </w:r>
            <w:r w:rsidR="00AF2FEF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monoterapii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 maksymalnie 12</w:t>
            </w:r>
            <w:r w:rsidR="00EA10BC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AF2FE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miesięcy.</w:t>
            </w:r>
          </w:p>
          <w:p w14:paraId="407BB812" w14:textId="77777777" w:rsidR="00CF0EC5" w:rsidRPr="00074B9D" w:rsidRDefault="002C14FA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Maksymalny okres opóźnienia podania kolejnego kursu leczenia może wynosić</w:t>
            </w:r>
            <w:r w:rsidR="00F77A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55162A7" w14:textId="2DD19592" w:rsidR="00CF0EC5" w:rsidRPr="00074B9D" w:rsidRDefault="00CF0EC5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 t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ygodni </w:t>
            </w:r>
            <w:r w:rsidR="00047A6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 leczenia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14FA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950A0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3F7DC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monoterapii albo w 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skojarzeniu z chemioterapią </w:t>
            </w:r>
            <w:r w:rsidR="00F77A4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albo </w:t>
            </w:r>
            <w:r w:rsidR="00F77A47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950A0D"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 albo leczenia </w:t>
            </w:r>
            <w:r w:rsidR="00950A0D" w:rsidRPr="0007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tislelizumabem </w:t>
            </w:r>
            <w:r w:rsidR="00950A0D"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3F7DCD"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monoterapii albo w </w:t>
            </w:r>
            <w:r w:rsidR="00950A0D" w:rsidRPr="00074B9D">
              <w:rPr>
                <w:rFonts w:ascii="Times New Roman" w:hAnsi="Times New Roman" w:cs="Times New Roman"/>
                <w:sz w:val="20"/>
                <w:szCs w:val="20"/>
              </w:rPr>
              <w:t>skojarzeniu z</w:t>
            </w:r>
            <w:r w:rsidR="003F7DCD" w:rsidRPr="00074B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50A0D" w:rsidRPr="00074B9D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</w:p>
          <w:p w14:paraId="7E4291E2" w14:textId="1E219311" w:rsidR="00CF0EC5" w:rsidRPr="00074B9D" w:rsidRDefault="003759D6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8 tygodni </w:t>
            </w:r>
            <w:r w:rsidR="00F77A4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</w:t>
            </w:r>
            <w:r w:rsidR="006D06B0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uzupełniające</w:t>
            </w:r>
            <w:r w:rsidR="006D06B0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go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monoterapii</w:t>
            </w:r>
            <w:r w:rsidR="00C102F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5AE3768C" w14:textId="77777777" w:rsidR="00C105FE" w:rsidRPr="00074B9D" w:rsidRDefault="00FE7907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 tygodn</w:t>
            </w:r>
            <w:r w:rsidR="00F77A4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 w przypadku leczenia </w:t>
            </w:r>
            <w:r w:rsidR="00F77A47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F77A4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6347C4FB" w14:textId="77777777" w:rsidR="008B6490" w:rsidRPr="00074B9D" w:rsidRDefault="008B6490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35CAF25" w14:textId="77777777" w:rsidR="008B6490" w:rsidRPr="00074B9D" w:rsidRDefault="008B6490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</w:t>
            </w:r>
            <w:r w:rsidR="00766C3A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eria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66C3A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5B7EFBE" w14:textId="77777777" w:rsidR="00512B3D" w:rsidRPr="00074B9D" w:rsidRDefault="00757D8D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766C3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nowotworowej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aktualnie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obowiązującymi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8869D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która w razie potrzeby powinna być potwierdzona na podstawie kolejnej oceny badaniem obrazowym wykonanym nie wcześniej niż po upływie 4 tygodni</w:t>
            </w:r>
            <w:r w:rsidR="005613F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C750293" w14:textId="77777777" w:rsidR="00F77A47" w:rsidRPr="00074B9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jakości życia o istotnym znaczeniu według oceny lekarza;</w:t>
            </w:r>
          </w:p>
          <w:p w14:paraId="4FF07DDE" w14:textId="77777777" w:rsidR="00F77A47" w:rsidRPr="00074B9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58199DE4" w14:textId="77777777" w:rsidR="00F77A47" w:rsidRPr="00074B9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69CB1169" w14:textId="77777777" w:rsidR="00F77A47" w:rsidRPr="00074B9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E67E454" w14:textId="77777777" w:rsidR="00F77A47" w:rsidRPr="00074B9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stanu sprawności do stopnia 2-4 według skali ECOG;</w:t>
            </w:r>
          </w:p>
          <w:p w14:paraId="62AF35AB" w14:textId="77777777" w:rsidR="00225EF7" w:rsidRPr="00074B9D" w:rsidRDefault="00757D8D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225EF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kres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piersią</w:t>
            </w:r>
            <w:r w:rsidR="00F77A4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4F75046" w14:textId="77777777" w:rsid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brak współpracy lub nieprzestrzeganie zaleceń lekarskich, w tym zwłaszcza dotyczących okresowych badań kontrolnych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oceniających skuteczność i bezpieczeństwo leczenia ze strony świadczeniobiorcy lub jego prawnych opiekunów</w:t>
            </w:r>
            <w:r w:rsidR="00005A3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FE454C2" w14:textId="022667B5" w:rsidR="00005A33" w:rsidRPr="00074B9D" w:rsidRDefault="00005A33" w:rsidP="00005A33">
            <w:pPr>
              <w:spacing w:after="60"/>
              <w:ind w:left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59441B6" w14:textId="77777777" w:rsidR="007B740F" w:rsidRPr="00074B9D" w:rsidRDefault="007B740F" w:rsidP="00FC08AD">
            <w:pPr>
              <w:pStyle w:val="Akapitzlist"/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Modyfikacja dawkowania</w:t>
            </w:r>
          </w:p>
          <w:p w14:paraId="63A9B589" w14:textId="77777777" w:rsidR="007B740F" w:rsidRPr="00074B9D" w:rsidRDefault="007B740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Sposób podawania oraz ewentualne czasowe wstrzymania leczenia, prowadzone zgodnie z aktualnymi Charakterystykami Produktu Leczniczego (ChPL).</w:t>
            </w:r>
          </w:p>
          <w:p w14:paraId="00A6417C" w14:textId="77777777" w:rsidR="007B740F" w:rsidRPr="00074B9D" w:rsidRDefault="007B740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Dopuszczalne jest zmniejszenie </w:t>
            </w:r>
            <w:r w:rsidR="00DE67E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zalecanej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dawki zgodnie z aktualną ChPL odpowiedniego leku.</w:t>
            </w:r>
          </w:p>
          <w:p w14:paraId="014181C2" w14:textId="77777777" w:rsidR="00424F6D" w:rsidRPr="00074B9D" w:rsidRDefault="00424F6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52AD711" w14:textId="77777777" w:rsidR="007B740F" w:rsidRPr="00074B9D" w:rsidRDefault="007B740F" w:rsidP="00FC08AD">
            <w:pPr>
              <w:pStyle w:val="Akapitzlist"/>
              <w:numPr>
                <w:ilvl w:val="0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Dawkowanie</w:t>
            </w:r>
          </w:p>
          <w:p w14:paraId="57895050" w14:textId="77777777" w:rsidR="000E48B3" w:rsidRPr="00074B9D" w:rsidRDefault="007B740F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</w:t>
            </w:r>
          </w:p>
          <w:p w14:paraId="49DAE7AF" w14:textId="77777777" w:rsidR="00B72A80" w:rsidRPr="00074B9D" w:rsidRDefault="00DE67E6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Zalecana d</w:t>
            </w:r>
            <w:r w:rsidR="00B72A8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awka</w:t>
            </w:r>
            <w:r w:rsidR="0047074F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7074F" w:rsidRPr="00074B9D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47074F" w:rsidRPr="00074B9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B72A80" w:rsidRPr="00074B9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200 mg co 3 tygodnie</w:t>
            </w:r>
            <w:r w:rsidR="00B72A8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B72A80" w:rsidRPr="00074B9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 mg co 6 tygodni</w:t>
            </w:r>
            <w:r w:rsidR="0047074F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D1FBC53" w14:textId="239C97BF" w:rsidR="00944F3F" w:rsidRPr="00074B9D" w:rsidRDefault="00FC59B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Dawkowanie </w:t>
            </w:r>
            <w:r w:rsidRPr="00074B9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stosowanej w leczeniu skojarzonym zgodnie z</w:t>
            </w:r>
            <w:r w:rsidR="00A63A5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odpowiednimi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E67E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="00836F1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oraz praktyką kliniczną</w:t>
            </w:r>
            <w:r w:rsidR="00957D31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690A008" w14:textId="77777777" w:rsidR="00010E38" w:rsidRPr="00074B9D" w:rsidRDefault="00010E38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14:paraId="15886345" w14:textId="77777777" w:rsidR="00E65179" w:rsidRPr="00074B9D" w:rsidRDefault="00DE67E6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 w monoterapii</w:t>
            </w:r>
          </w:p>
          <w:p w14:paraId="2C54FA80" w14:textId="77777777" w:rsidR="00FA44CA" w:rsidRPr="00074B9D" w:rsidRDefault="00DE67E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</w:t>
            </w:r>
            <w:r w:rsidR="00057E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7EB3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ESCC</w:t>
            </w:r>
            <w:r w:rsidR="00057E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7E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mg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tygodnie</w:t>
            </w:r>
            <w:r w:rsidR="00057E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31ACF53" w14:textId="77777777" w:rsidR="00BB51B3" w:rsidRPr="00074B9D" w:rsidRDefault="00DE67E6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Zalecana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dawka </w:t>
            </w:r>
            <w:r w:rsidR="00BB51B3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leczeniu uzupełniającym: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 mg co 2 tygodnie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="00BB51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480 mg co 4 tygodnie przez pierwsze 16 tygodni</w:t>
            </w:r>
            <w:r w:rsidR="00BB51B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a następnie </w:t>
            </w:r>
            <w:r w:rsidR="00BB51B3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480 mg co 4 tygodnie.</w:t>
            </w:r>
          </w:p>
          <w:p w14:paraId="4690804A" w14:textId="77777777" w:rsidR="002C14FA" w:rsidRPr="00074B9D" w:rsidRDefault="002C14FA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30966842" w14:textId="77777777" w:rsidR="002C14FA" w:rsidRPr="00074B9D" w:rsidRDefault="00836F12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2C14FA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w skojarzeniu z chemioterapią</w:t>
            </w:r>
          </w:p>
          <w:p w14:paraId="152A697F" w14:textId="46521BE5" w:rsidR="002C14FA" w:rsidRPr="00074B9D" w:rsidRDefault="00836F12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2C14FA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C14FA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E274F2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558A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EAC</w:t>
            </w:r>
            <w:r w:rsidR="002C14FA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 360 mg co 3 tygodnie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="002C14FA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 mg co 2 tygodnie</w:t>
            </w:r>
            <w:r w:rsidR="002C14F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71DE57C" w14:textId="77777777" w:rsidR="00836F12" w:rsidRPr="00074B9D" w:rsidRDefault="00836F12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dawka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ESCC: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 mg co 2 tygodnie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480 mg co 4 tygodnie</w:t>
            </w:r>
          </w:p>
          <w:p w14:paraId="70F9904C" w14:textId="76BC2245" w:rsidR="002C14FA" w:rsidRPr="00074B9D" w:rsidRDefault="002C14FA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r w:rsidRPr="00074B9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opartej na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i </w:t>
            </w:r>
            <w:r w:rsidR="00836F1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pochodnej </w:t>
            </w:r>
            <w:r w:rsidR="00836F12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E274F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 leczeniu skojarzonym </w:t>
            </w:r>
            <w:r w:rsidR="00836F1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z </w:t>
            </w:r>
            <w:r w:rsidR="00836F12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836F1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prowadzone jest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zgodnie z odpowiednimi </w:t>
            </w:r>
            <w:r w:rsidR="00836F1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oraz praktyką kliniczną.</w:t>
            </w:r>
          </w:p>
          <w:p w14:paraId="3121B40A" w14:textId="67018DBD" w:rsidR="003759D6" w:rsidRPr="00074B9D" w:rsidRDefault="002C14FA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wystąpienia nieakceptowalnej toksyczności w wyniku stosowania</w:t>
            </w:r>
            <w:r w:rsidR="00E274F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chemioterapii możliwe jest odstawienie leczenia cytotoksycznego i kontynuowanie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2F12BB4" w14:textId="77777777" w:rsidR="00424F6D" w:rsidRPr="00074B9D" w:rsidRDefault="00424F6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504A3FE" w14:textId="77777777" w:rsidR="003759D6" w:rsidRPr="00074B9D" w:rsidRDefault="00836F12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niwolumab </w:t>
            </w:r>
            <w:r w:rsidR="003759D6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w skojarzeniu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z </w:t>
            </w:r>
            <w:r w:rsidR="003759D6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ipilimumabem</w:t>
            </w:r>
          </w:p>
          <w:p w14:paraId="4E144899" w14:textId="77777777" w:rsidR="003759D6" w:rsidRPr="00074B9D" w:rsidRDefault="003759D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Zalecana dawka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skojarzeniu z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mg/kg mc. co 2 tygodnie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360 mg co 3 tygodnie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B320333" w14:textId="77777777" w:rsidR="003759D6" w:rsidRPr="00074B9D" w:rsidRDefault="003759D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dawka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 mg/kg mc. co 6 tygodni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CCD1758" w14:textId="77777777" w:rsidR="002C14FA" w:rsidRPr="00074B9D" w:rsidRDefault="003759D6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wystąpienia nieakceptowalnej toksyczności w wyniku stosowania</w:t>
            </w:r>
            <w:r w:rsidR="00E274F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możliwe jest odstawienie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i kontynuowanie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w monoterapii.</w:t>
            </w:r>
          </w:p>
          <w:p w14:paraId="0D671400" w14:textId="77777777" w:rsidR="00605B73" w:rsidRPr="00074B9D" w:rsidRDefault="00605B73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676FD2C" w14:textId="77777777" w:rsidR="00605B73" w:rsidRPr="00074B9D" w:rsidRDefault="00605B73" w:rsidP="00605B73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tislelizumab w skojarzeniu z chemioterapią</w:t>
            </w:r>
          </w:p>
          <w:p w14:paraId="5DDB4B29" w14:textId="40235C18" w:rsidR="00605B73" w:rsidRPr="00074B9D" w:rsidRDefault="00605B73" w:rsidP="00605B7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Zalecana dawka </w:t>
            </w:r>
            <w:r w:rsidRPr="00074B9D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tislelizumabu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200 mg co 3</w:t>
            </w:r>
            <w:r w:rsidR="004E75A0"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tygodnie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400 mg co 6 tygodni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0DF5D5B" w14:textId="77777777" w:rsidR="00605B73" w:rsidRPr="00074B9D" w:rsidRDefault="00605B73" w:rsidP="00605B7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Dawkowanie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chemioterapii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opartej na pochodnej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fluoropirymidynie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pochodnej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taksanie (paklitaksel)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leczeniu skojarzonym z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tislelizumabem</w:t>
            </w:r>
            <w:r w:rsidRPr="00074B9D">
              <w:t xml:space="preserve"> 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prowadzone jest zgodnie z odpowiednimi ChPL oraz praktyką kliniczną.</w:t>
            </w:r>
          </w:p>
          <w:p w14:paraId="70CC1256" w14:textId="77777777" w:rsidR="00605B73" w:rsidRPr="00074B9D" w:rsidRDefault="00605B73" w:rsidP="00605B7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W przypadku wystąpienia nieakceptowalnej toksyczności w wyniku stosowania chemioterapii możliwe jest odstawienie leczenia cytotoksycznego i kontynuowanie leczenia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tislelizumabem.</w:t>
            </w:r>
          </w:p>
          <w:p w14:paraId="71CA0B06" w14:textId="77777777" w:rsidR="00B2748C" w:rsidRPr="00074B9D" w:rsidRDefault="00B2748C" w:rsidP="00605B7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  <w:p w14:paraId="3E3ECC11" w14:textId="77777777" w:rsidR="00B2748C" w:rsidRPr="00074B9D" w:rsidRDefault="00B2748C" w:rsidP="00B2748C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tislelizumab </w:t>
            </w:r>
            <w:r w:rsidRPr="00074B9D">
              <w:rPr>
                <w:rFonts w:ascii="Times New Roman" w:hAnsi="Times New Roman" w:cs="Times New Roman"/>
                <w:b/>
                <w:sz w:val="20"/>
                <w:szCs w:val="20"/>
              </w:rPr>
              <w:t>w monoterapii</w:t>
            </w:r>
          </w:p>
          <w:p w14:paraId="0DEFBDFC" w14:textId="75E87670" w:rsidR="00B2748C" w:rsidRPr="00074B9D" w:rsidRDefault="00B2748C" w:rsidP="00B274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Zalecana dawka </w:t>
            </w:r>
            <w:r w:rsidRPr="00074B9D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tislelizumabu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200 mg co 3</w:t>
            </w:r>
            <w:r w:rsidR="004E75A0"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tygodnie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400 mg co 6 tygodni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12" w:type="dxa"/>
          </w:tcPr>
          <w:p w14:paraId="41582711" w14:textId="77777777" w:rsidR="00B82D80" w:rsidRPr="00074B9D" w:rsidRDefault="005D4D55" w:rsidP="00FC08AD">
            <w:pPr>
              <w:pStyle w:val="Akapitzlist"/>
              <w:numPr>
                <w:ilvl w:val="0"/>
                <w:numId w:val="3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6DDF8BB1" w14:textId="77777777" w:rsidR="00183DB9" w:rsidRPr="00074B9D" w:rsidRDefault="00723C4E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</w:t>
            </w:r>
            <w:r w:rsidR="00B82D8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adanie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82D8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histologiczne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A56B5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A56B5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celu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A56B5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potwierdzenia</w:t>
            </w:r>
            <w:r w:rsidR="00E9026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9026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określonego typu raka przełyku lub połączenia przełykowo-żołądkowego</w:t>
            </w:r>
            <w:r w:rsidR="00183DB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026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 z kryteriami kwalifikowania chorych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3FF014F" w14:textId="26BCF841" w:rsidR="003759D6" w:rsidRPr="00074B9D" w:rsidRDefault="003759D6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stwierdzenie choroby resztkowej ≥ ypT1 lub ≥ ypN1 po zabiegu chirurgicznym R0 – </w:t>
            </w:r>
            <w:r w:rsidR="004E32B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dotyczy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leczeni</w:t>
            </w:r>
            <w:r w:rsidR="004E32B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uzupełniające</w:t>
            </w:r>
            <w:r w:rsidR="003F7B15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go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w monoterapii;</w:t>
            </w:r>
          </w:p>
          <w:p w14:paraId="58E1FEDA" w14:textId="0D49791C" w:rsidR="00477D31" w:rsidRPr="00074B9D" w:rsidRDefault="00183DB9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immunohistochemiczne lub hybrydyzacji in situ oceniające ekspresję HER2 – </w:t>
            </w:r>
            <w:r w:rsidR="00B558A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leczenia </w:t>
            </w:r>
            <w:r w:rsidR="0049358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chorych na gruczolakoraka </w:t>
            </w:r>
            <w:r w:rsidR="00B558A3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558A3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oraz </w:t>
            </w:r>
            <w:r w:rsidR="007122E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E9026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615CFDA7" w14:textId="77777777" w:rsidR="00183DB9" w:rsidRPr="00074B9D" w:rsidRDefault="00D75F7A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potwierdzenie </w:t>
            </w:r>
            <w:r w:rsidR="00183DB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zwalidowanym testem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ekspresji PD-L1 </w:t>
            </w:r>
            <w:r w:rsidR="00B558A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CPS (combined positive score)</w:t>
            </w:r>
            <w:r w:rsidR="00183DB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77BE7A1" w14:textId="09D7B291" w:rsidR="00183DB9" w:rsidRPr="00074B9D" w:rsidRDefault="00183DB9" w:rsidP="00FC08AD">
            <w:pPr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≥ 5 w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przypadku leczenia EAC </w:t>
            </w:r>
            <w:r w:rsidR="007122E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1C737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 z chemioterapią</w:t>
            </w:r>
            <w:r w:rsidR="00EC5FB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7771DDE8" w14:textId="5768BBF6" w:rsidR="00477D31" w:rsidRPr="00074B9D" w:rsidRDefault="00D75F7A" w:rsidP="00FC08AD">
            <w:pPr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183DB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="00477D3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 </w:t>
            </w:r>
            <w:r w:rsidR="00477D31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1C737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 z chemioterapią</w:t>
            </w:r>
            <w:r w:rsidR="00477D3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65B05FD" w14:textId="77777777" w:rsidR="003759D6" w:rsidRPr="00074B9D" w:rsidRDefault="003759D6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potwierdzenie zwalidowanym testem ekspresji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PD-L1 wg TPS (tumor proportion score) ≥ 1 % - 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leczenia ESCC </w:t>
            </w:r>
            <w:r w:rsidR="007122E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 albo </w:t>
            </w:r>
            <w:r w:rsidR="007122E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7122E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979705E" w14:textId="11AACC80" w:rsidR="001C7371" w:rsidRPr="00074B9D" w:rsidRDefault="001C7371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potwierdzenie ekspresji PD-L1 w tkance nowotworowej</w:t>
            </w:r>
            <w:r w:rsidRPr="00074B9D">
              <w:rPr>
                <w:rStyle w:val="Odwoaniedokomentarza"/>
                <w:rFonts w:ascii="Calibri" w:eastAsiaTheme="minorEastAsia" w:hAnsi="Calibri" w:cstheme="minorBidi"/>
                <w:lang w:val="en-GB" w:eastAsia="en-GB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≥ 5 % za pomocą przeznaczonego do tego celu testu IVD posiadającego oznakowanie CE. Jeśli oznaczenie za pomocą testu CE IVD nie jest dostępne, należy zastosować alternatywny zwalidowany test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chemioterapią;</w:t>
            </w:r>
          </w:p>
          <w:p w14:paraId="4D01ACBA" w14:textId="77777777" w:rsidR="003F5B04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rozmazem</w:t>
            </w:r>
            <w:r w:rsidR="00723C4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44C3209" w14:textId="77777777" w:rsidR="003F5B04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</w:t>
            </w:r>
            <w:r w:rsidR="00723C4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0A2874A4" w14:textId="77777777" w:rsidR="003F5B04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oznaczanie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glukozy</w:t>
            </w:r>
            <w:r w:rsidR="00057CB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D0F643C" w14:textId="77777777" w:rsidR="003F5B04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całkowitej</w:t>
            </w:r>
            <w:r w:rsidR="00057CB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62853586" w14:textId="77777777" w:rsidR="00057CBD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</w:t>
            </w:r>
            <w:r w:rsidR="00057CB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2B634CD1" w14:textId="77777777" w:rsidR="003F5B04" w:rsidRPr="00074B9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B86C06D" w14:textId="5482279F" w:rsidR="0001191B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poziomu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sodu,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potasu</w:t>
            </w:r>
            <w:r w:rsidR="00754D7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754D7B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="005613FC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B90C88D" w14:textId="282E82AD" w:rsidR="004F4943" w:rsidRPr="00074B9D" w:rsidRDefault="004F4943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pembrolizumabem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C6A907B" w14:textId="77777777" w:rsidR="003F5B04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poziomu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C47CD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f</w:t>
            </w:r>
            <w:r w:rsidR="005C7DD5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T4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C7DD5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TSH</w:t>
            </w:r>
            <w:r w:rsidR="00057CB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F358E8F" w14:textId="6663A8F7" w:rsidR="003F5B04" w:rsidRPr="00074B9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test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ciążowy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kobiet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wieku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prokreacyjnym</w:t>
            </w:r>
            <w:r w:rsidR="00057CB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04AACF8E" w14:textId="614397B5" w:rsidR="003F5B04" w:rsidRPr="00074B9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lektrokardiografia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(EKG)</w:t>
            </w:r>
            <w:r w:rsidR="00754D7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754D7B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="00757D8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27E938A1" w14:textId="77777777" w:rsidR="003F5B04" w:rsidRPr="00074B9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adanie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obrazowe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umożliwiające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rozpoznanie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nawrotu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lub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przerzutów</w:t>
            </w:r>
            <w:r w:rsidR="0085206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(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tomografia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komputerowa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klatki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piersiowej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jamy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brzusznej</w:t>
            </w:r>
            <w:r w:rsidR="000A030A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lub inne badanie w zależności od sytuacji klinicznej</w:t>
            </w:r>
            <w:r w:rsidR="0085206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92E3B40" w14:textId="77777777" w:rsidR="00617F7F" w:rsidRPr="00074B9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inne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badania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laboratoryjne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obrazowe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razie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wskazań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klinicznych.</w:t>
            </w:r>
          </w:p>
          <w:p w14:paraId="3DA3DA05" w14:textId="77777777" w:rsidR="00757D8D" w:rsidRPr="00074B9D" w:rsidRDefault="00757D8D" w:rsidP="00FC08AD">
            <w:p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14:paraId="51EFCE80" w14:textId="77777777" w:rsidR="00364B47" w:rsidRPr="00074B9D" w:rsidRDefault="00577610" w:rsidP="00FC08AD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bezpieczeństwa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7D1F8C9" w14:textId="77777777" w:rsidR="00A96C44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02633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D4233A0" w14:textId="1856015F" w:rsidR="00742870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</w:t>
            </w:r>
            <w:r w:rsidR="0002633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FC35DA8" w14:textId="598BE367" w:rsidR="00742870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glukozy</w:t>
            </w:r>
            <w:r w:rsidR="009B41F9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9B41F9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="0002633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04ED02C0" w14:textId="367F53BB" w:rsidR="00742870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całkowitej,</w:t>
            </w:r>
          </w:p>
          <w:p w14:paraId="138F3806" w14:textId="77777777" w:rsidR="00742870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alaninowej;</w:t>
            </w:r>
          </w:p>
          <w:p w14:paraId="78650176" w14:textId="77777777" w:rsidR="00742870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asparaginianowej;</w:t>
            </w:r>
          </w:p>
          <w:p w14:paraId="55F6106A" w14:textId="2DB56D86" w:rsidR="002D1FAD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sodu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57D8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potasu</w:t>
            </w:r>
            <w:r w:rsidR="001169D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1169D0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="001169D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BE098C9" w14:textId="2EAB3378" w:rsidR="001169D0" w:rsidRPr="00074B9D" w:rsidRDefault="001169D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pembrolizumabem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2522E89" w14:textId="77777777" w:rsidR="00F416EC" w:rsidRPr="00074B9D" w:rsidRDefault="00F416EC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83DB9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wolnej T4 i TSH;</w:t>
            </w:r>
          </w:p>
          <w:p w14:paraId="35D01D9B" w14:textId="07999F6C" w:rsidR="00742870" w:rsidRPr="00074B9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EKG</w:t>
            </w:r>
            <w:r w:rsidR="001169D0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1169D0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1C7371"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</w:t>
            </w:r>
            <w:r w:rsidR="001C7371"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C0C8300" w14:textId="77777777" w:rsidR="00452F82" w:rsidRPr="00074B9D" w:rsidRDefault="00742870" w:rsidP="00FC08AD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2F8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 się:</w:t>
            </w:r>
          </w:p>
          <w:p w14:paraId="570A599C" w14:textId="5A6FFA3C" w:rsidR="00183DB9" w:rsidRPr="00074B9D" w:rsidRDefault="00183DB9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 rzadziej niż co 12 tygodni lub częściej, jeśli wymaga tego stan kliniczny pacjent</w:t>
            </w:r>
            <w:r w:rsidR="001C7371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a,</w:t>
            </w:r>
            <w:r w:rsidR="00C47CD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leczenia </w:t>
            </w:r>
            <w:r w:rsidR="005C280E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ESCC lub </w:t>
            </w:r>
            <w:r w:rsidR="00C47CD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EAC </w:t>
            </w:r>
            <w:r w:rsidR="00C47CD6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C47CD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5C280E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r w:rsidR="005C280E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1C7371" w:rsidRPr="00074B9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="001C7371"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leczenia </w:t>
            </w:r>
            <w:r w:rsidR="001C7371"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="001C7371"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</w:t>
            </w:r>
            <w:r w:rsidR="00EC5FB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31CA1DE" w14:textId="5B2974B0" w:rsidR="00C47CD6" w:rsidRPr="00074B9D" w:rsidRDefault="00C47CD6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8 tyg. w zależności od sytuacji klinicznej w przypadku leczenia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monoterapii</w:t>
            </w:r>
            <w:r w:rsidR="007259E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(leczenie uzupełniające i leczenie ESCC)</w:t>
            </w:r>
            <w:r w:rsidR="003F7B1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3F7B15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tislelizumabem </w:t>
            </w:r>
            <w:r w:rsidR="003F7B1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monoterapii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C7AA694" w14:textId="5B651A22" w:rsidR="00C47CD6" w:rsidRPr="00074B9D" w:rsidRDefault="00C47CD6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przed każdym podaniem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="00EC5FB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85548F1" w14:textId="249BE521" w:rsidR="00183DB9" w:rsidRPr="00074B9D" w:rsidRDefault="00183DB9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u chorych poddawanych chemioterapii</w:t>
            </w:r>
            <w:r w:rsidR="00C47CD6" w:rsidRPr="00074B9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skojarzonej z </w:t>
            </w:r>
            <w:r w:rsidR="00C47CD6" w:rsidRPr="00074B9D">
              <w:rPr>
                <w:rFonts w:ascii="Times New Roman" w:eastAsiaTheme="minorHAns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C47CD6" w:rsidRPr="00074B9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,</w:t>
            </w:r>
            <w:r w:rsidRPr="00074B9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badania umożliwiające podanie kolejnego kursu wykonuje się zgodnie z praktyka kliniczną</w:t>
            </w:r>
            <w:r w:rsidR="00EC5FBF" w:rsidRPr="00074B9D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,</w:t>
            </w:r>
          </w:p>
          <w:p w14:paraId="0ADC22D7" w14:textId="77777777" w:rsidR="0055640B" w:rsidRPr="00074B9D" w:rsidRDefault="00FF6E8B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podaniem chemioterapii stosowanej w terapii skojarzonej z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0288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należy wykonać badania </w:t>
            </w:r>
            <w:r w:rsidR="00896F5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</w:t>
            </w:r>
            <w:r w:rsidR="00C3201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</w:t>
            </w:r>
            <w:r w:rsidR="007B62CC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3201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kt </w:t>
            </w:r>
            <w:r w:rsidR="007B62CC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1), 2), 4), 5), 6), 8)</w:t>
            </w:r>
            <w:r w:rsidR="005613FC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A314B0D" w14:textId="77777777" w:rsidR="003225D2" w:rsidRPr="00074B9D" w:rsidRDefault="00525F1C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</w:t>
            </w:r>
            <w:r w:rsidR="00696E0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tygodni należy wykonać badanie wymie</w:t>
            </w:r>
            <w:r w:rsidR="005969B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nione w ppkt 9) w przypadku leczenia </w:t>
            </w:r>
            <w:r w:rsidR="005969BD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5969B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0190D5D" w14:textId="77777777" w:rsidR="00A96C44" w:rsidRPr="00074B9D" w:rsidRDefault="00A96C44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C2261E2" w14:textId="77777777" w:rsidR="00A96C44" w:rsidRPr="00074B9D" w:rsidRDefault="00A96C44" w:rsidP="00FC08AD">
            <w:pPr>
              <w:pStyle w:val="Akapitzlist"/>
              <w:numPr>
                <w:ilvl w:val="0"/>
                <w:numId w:val="3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skuteczności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3E11DE50" w14:textId="77777777" w:rsidR="004E162E" w:rsidRPr="00074B9D" w:rsidRDefault="004E162E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obrazowe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65F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65F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obowiązujących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RECIST</w:t>
            </w:r>
            <w:r w:rsidR="003D0A6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D0A6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tomografia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D0A6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komputerowa</w:t>
            </w:r>
            <w:r w:rsidR="00A90EA0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83DB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klatki piersiowej i jamy brzusznej </w:t>
            </w:r>
            <w:r w:rsidR="00A90EA0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inne</w:t>
            </w:r>
            <w:r w:rsidR="003645B4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zależności od sytuacji klinicznej.</w:t>
            </w:r>
          </w:p>
          <w:p w14:paraId="4E8A7A47" w14:textId="77777777" w:rsidR="004E162E" w:rsidRPr="00074B9D" w:rsidRDefault="004E162E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wykorzystaniem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identycznej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  <w:p w14:paraId="3181E01E" w14:textId="77777777" w:rsidR="00312E74" w:rsidRPr="00074B9D" w:rsidRDefault="00312E74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83DB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częściej</w:t>
            </w:r>
            <w:r w:rsidR="003759D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zależności od sytuacji klinicznej.</w:t>
            </w:r>
          </w:p>
          <w:p w14:paraId="5E7FAF12" w14:textId="77777777" w:rsidR="002D7DEE" w:rsidRPr="00074B9D" w:rsidRDefault="002D7DEE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636C2D03" w14:textId="77777777" w:rsidR="002D7DEE" w:rsidRPr="00074B9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całkowita (CR) lub częściowa odpowiedź (PR) na leczenie,</w:t>
            </w:r>
          </w:p>
          <w:p w14:paraId="4807C65F" w14:textId="77777777" w:rsidR="002D7DEE" w:rsidRPr="00074B9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stabilizacja (SD) lub progresja choroby (PD),</w:t>
            </w:r>
          </w:p>
          <w:p w14:paraId="6D521522" w14:textId="77777777" w:rsidR="002D7DEE" w:rsidRPr="00074B9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całkowite przeżycie (OS) i czas do progresji (PFS).</w:t>
            </w:r>
          </w:p>
          <w:p w14:paraId="0101A567" w14:textId="77777777" w:rsidR="002D7DEE" w:rsidRPr="00074B9D" w:rsidRDefault="002D7DEE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331132" w14:textId="77777777" w:rsidR="00364B47" w:rsidRPr="00074B9D" w:rsidRDefault="00364B47" w:rsidP="00FC08AD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3D278E85" w14:textId="77777777" w:rsidR="00364B47" w:rsidRPr="00074B9D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romadzenie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36413" w14:textId="77777777" w:rsidR="00364B47" w:rsidRPr="00074B9D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zupełnienie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7DEE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 zawartych w elektronicznym systemie monitorowania programów lekowych, w tym przekazywanie 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7E730BFC" w14:textId="77777777" w:rsidR="00364B47" w:rsidRPr="00074B9D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rzekazywanie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364B4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93DF4" w:rsidRPr="00074B9D" w14:paraId="0928BB82" w14:textId="77777777" w:rsidTr="00757D8D">
        <w:trPr>
          <w:trHeight w:val="567"/>
        </w:trPr>
        <w:tc>
          <w:tcPr>
            <w:tcW w:w="15388" w:type="dxa"/>
            <w:gridSpan w:val="3"/>
            <w:vAlign w:val="center"/>
          </w:tcPr>
          <w:p w14:paraId="6F221266" w14:textId="769790B7" w:rsidR="006E0270" w:rsidRPr="00074B9D" w:rsidRDefault="006E0270" w:rsidP="00757D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ŻOŁĄDKA</w:t>
            </w:r>
            <w:r w:rsidR="00D26AC5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 POŁĄCZENIA ŻOŁĄDKOWO-PRZEŁYKOWEGO</w:t>
            </w:r>
          </w:p>
        </w:tc>
      </w:tr>
      <w:tr w:rsidR="006A68EA" w:rsidRPr="00E93DF4" w14:paraId="3E84AFFE" w14:textId="77777777" w:rsidTr="00173D86">
        <w:trPr>
          <w:trHeight w:val="20"/>
        </w:trPr>
        <w:tc>
          <w:tcPr>
            <w:tcW w:w="5665" w:type="dxa"/>
          </w:tcPr>
          <w:p w14:paraId="7AAE25CB" w14:textId="5962129A" w:rsidR="00494171" w:rsidRPr="00074B9D" w:rsidRDefault="00494171" w:rsidP="00FC08AD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finansuje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E274F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5277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trzy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</w:t>
            </w:r>
            <w:r w:rsidR="00C5277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CE446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zaawansowanego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żołądka</w:t>
            </w:r>
            <w:r w:rsidR="00CE446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połączenia żołądkowo-przełykowego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1CB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</w:t>
            </w:r>
            <w:r w:rsidR="00CE446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05ECC619" w14:textId="77777777" w:rsidR="001365E5" w:rsidRPr="00074B9D" w:rsidRDefault="001365E5" w:rsidP="00A07636">
            <w:pPr>
              <w:numPr>
                <w:ilvl w:val="3"/>
                <w:numId w:val="1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04D818D" w14:textId="06CD01A5" w:rsidR="00181EC9" w:rsidRPr="00074B9D" w:rsidRDefault="00181EC9" w:rsidP="00A07636">
            <w:pPr>
              <w:numPr>
                <w:ilvl w:val="3"/>
                <w:numId w:val="1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tislelizumab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7786F8B" w14:textId="77777777" w:rsidR="00494171" w:rsidRPr="00074B9D" w:rsidRDefault="00494171" w:rsidP="00A07636">
            <w:pPr>
              <w:numPr>
                <w:ilvl w:val="3"/>
                <w:numId w:val="1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ramucyrumab</w:t>
            </w:r>
            <w:r w:rsidR="001365E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25C05C2" w14:textId="70A18809" w:rsidR="00C52775" w:rsidRPr="00074B9D" w:rsidRDefault="00C52775" w:rsidP="00A07636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D15FE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typiracyl</w:t>
            </w:r>
            <w:r w:rsidR="000D15FE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em</w:t>
            </w:r>
            <w:r w:rsidR="009F4CB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3853306" w14:textId="7FECAB4A" w:rsidR="0041749E" w:rsidRPr="00074B9D" w:rsidRDefault="008A3D08" w:rsidP="00A07636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41749E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rastuzumab derukstekan</w:t>
            </w:r>
            <w:r w:rsidR="009F4CB1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6F55AA48" w14:textId="77777777" w:rsidR="00CE446A" w:rsidRPr="00074B9D" w:rsidRDefault="00CE446A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4727EF2" w14:textId="77777777" w:rsidR="00642F65" w:rsidRPr="00074B9D" w:rsidRDefault="00891DE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zaawansowanego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36849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gruczolakoraka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żołądka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446A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lub połączenia żołądkowo-przełykowego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777CEE3D" w14:textId="7DF1F5B5" w:rsidR="002B0953" w:rsidRPr="00074B9D" w:rsidRDefault="002B0953" w:rsidP="00A05951">
            <w:pPr>
              <w:pStyle w:val="Akapitzlist"/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skojarzoną opartą na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 i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pochodnej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oksaliplatynie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kapecytabinie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według schematu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CAPOX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 dorosłych pacjentów z HER2-ujemnym zaawansowanym lub przerzutowym gruczolakorakiem żołądka lub połączenia żołądkowo-przełykowego z ekspresją PD-L1</w:t>
            </w:r>
            <w:r w:rsidR="007259E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4B5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wg skali CPS ≥ 5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</w:t>
            </w:r>
            <w:r w:rsidR="00A9028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EDB8C01" w14:textId="3F98C1E9" w:rsidR="001504C0" w:rsidRPr="00074B9D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760A299D" w14:textId="77777777" w:rsidR="009F4CB1" w:rsidRPr="00074B9D" w:rsidRDefault="009F4CB1" w:rsidP="009F4CB1">
            <w:pPr>
              <w:pStyle w:val="Akapitzlist"/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skojarzoną opartą na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fluoropirymidynie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/>
                <w:sz w:val="20"/>
                <w:szCs w:val="20"/>
              </w:rPr>
              <w:t>pochodnej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cisplatyna+5-fluorouracyl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schemat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CAPOX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) dorosłych pacjentów z HER2-ujemnym, nieoperacyjnym, miejscowo zaawansowanym lub przerzutowym gruczolakorakiem żołądka lub połączenia żołądkowo-przełykowego z ekspresją PD-L1 ≥5% (I linia leczenia).</w:t>
            </w:r>
          </w:p>
          <w:p w14:paraId="466E3A30" w14:textId="7EEB7527" w:rsidR="009F4CB1" w:rsidRPr="00074B9D" w:rsidRDefault="009F4CB1" w:rsidP="009F4CB1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</w:t>
            </w:r>
          </w:p>
          <w:p w14:paraId="5B89C540" w14:textId="129D6071" w:rsidR="001A2786" w:rsidRPr="00074B9D" w:rsidRDefault="00891DE3" w:rsidP="00A05951">
            <w:pPr>
              <w:numPr>
                <w:ilvl w:val="3"/>
                <w:numId w:val="2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ramucyrumabe</w:t>
            </w:r>
            <w:r w:rsidR="00EB0ED6"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paklitakselem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pacjentów,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wykazano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progresję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wcześniejszej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pochodnymi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fluoropirymidyną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2F6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(II</w:t>
            </w:r>
            <w:r w:rsidR="008A66D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2F6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2F6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leczenia).</w:t>
            </w:r>
          </w:p>
          <w:p w14:paraId="4F61127F" w14:textId="77777777" w:rsidR="002B0953" w:rsidRPr="00074B9D" w:rsidRDefault="002B0953" w:rsidP="00FC08AD">
            <w:pPr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kwalifikowani są pacjenci z udokumentowaną obiektywną radiologiczną lub kliniczną progresja choroby po wcześniejszej chemioterapii pochodnymi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A0F81B4" w14:textId="488407BF" w:rsidR="00C52775" w:rsidRPr="00074B9D" w:rsidRDefault="00C52775" w:rsidP="00A05951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E446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6C3F8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</w:t>
            </w:r>
            <w:r w:rsidR="00CE446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3F8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gruczolakorakiem żołądka lub połączenia żołądkowo-przełykowego w stadium uogólnionym (obecność przerzutów w narządach odległych)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u których udokumentowano</w:t>
            </w:r>
            <w:r w:rsidR="00E274F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nieskuteczność dwóch wcześniejszych standardowych schematów leczenia choroby zaawansowanej, w tym obejmujących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platynę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taksany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irynotekan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(III linia leczenia). </w:t>
            </w:r>
          </w:p>
          <w:p w14:paraId="01B1B158" w14:textId="018F67EA" w:rsidR="00AE5922" w:rsidRPr="00074B9D" w:rsidRDefault="00C52775" w:rsidP="001D33D3">
            <w:pPr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Ponadto, w przypadku pacjentów kwalifikujących się do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z potwierdzoną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nadekspresją receptora HER2 w komórkach raka inwazyjnego wymagana jest wcześniejsza terapia anty-HER2.</w:t>
            </w:r>
          </w:p>
          <w:p w14:paraId="046DF723" w14:textId="638AF0F9" w:rsidR="001D33D3" w:rsidRPr="00074B9D" w:rsidRDefault="00143364" w:rsidP="00A05951">
            <w:pPr>
              <w:pStyle w:val="Akapitzlist"/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B31FA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6840"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196840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z HER2 dodatnim zaawansowanym gruczolakorakiem żołądka lub połączenia</w:t>
            </w:r>
            <w:r w:rsidR="00B31FA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żołądkowo-przełykowego</w:t>
            </w:r>
            <w:r w:rsidR="00B31FA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którzy otrzymali wcześniej </w:t>
            </w:r>
            <w:r w:rsidR="00AE6A6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schemat leczenia oparty na </w:t>
            </w:r>
            <w:r w:rsidR="00AE6A63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trastuzumabie</w:t>
            </w:r>
            <w:r w:rsidR="00AE6A6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(II lub kolejne linie leczenia)</w:t>
            </w:r>
            <w:r w:rsidR="000D21C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BF1DA74" w14:textId="21A27859" w:rsidR="002B0953" w:rsidRPr="00074B9D" w:rsidRDefault="002B095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programie istnieje możliwość jednorazowego zastosowania immunoterapii z wykorzystaniem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9F4CB1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9F4CB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albo </w:t>
            </w:r>
            <w:r w:rsidR="009F4CB1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tislelizumabu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856824A" w14:textId="77777777" w:rsidR="00891DE3" w:rsidRPr="00074B9D" w:rsidRDefault="00891DE3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9D104CF" w14:textId="77777777" w:rsidR="006A68EA" w:rsidRPr="00074B9D" w:rsidRDefault="006A68EA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2B24E51" w14:textId="77777777" w:rsidR="00EC2417" w:rsidRPr="00074B9D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C241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iek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2417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E446A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lat i powyżej;</w:t>
            </w:r>
          </w:p>
          <w:p w14:paraId="3D736074" w14:textId="77777777" w:rsidR="006A497C" w:rsidRPr="00074B9D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</w:t>
            </w:r>
            <w:r w:rsidR="0091198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istologiczne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rozpoznanie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gruczolakoraka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żołądka</w:t>
            </w:r>
            <w:r w:rsidR="00971CB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45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 połączenia przełykowo-żołądkowego</w:t>
            </w:r>
            <w:r w:rsidR="00971CB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E4812B1" w14:textId="57F0AE2D" w:rsidR="002B0953" w:rsidRPr="00074B9D" w:rsidRDefault="002B095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udokumentowana </w:t>
            </w:r>
            <w:r w:rsidR="006C3F8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potwierdzona </w:t>
            </w:r>
            <w:r w:rsidR="006C3F8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zwalidowanym testem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ekspresja PD-L1 w tkance nowotworowej wg skali CPS (combined positive score)</w:t>
            </w:r>
            <w:r w:rsidR="00E274F2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5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3D0ABA3" w14:textId="2755915D" w:rsidR="00693E07" w:rsidRPr="00074B9D" w:rsidRDefault="00693E07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udokumentowana i potwierdzona ekspresja PD-L1 w tkance nowotworowej</w:t>
            </w:r>
            <w:r w:rsidRPr="00074B9D">
              <w:rPr>
                <w:rStyle w:val="Odwoaniedokomentarza"/>
                <w:rFonts w:ascii="Calibri" w:eastAsiaTheme="minorEastAsia" w:hAnsi="Calibri" w:cstheme="minorBidi"/>
                <w:lang w:val="en-GB" w:eastAsia="en-GB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≥ 5 % za pomocą przeznaczonego do tego celu testu IVD posiadającego oznakowanie CE. Jeśli oznaczenie za pomocą testu CE IVD nie jest dostępne, należy zastosować alternatywny zwalidowany test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</w:p>
          <w:p w14:paraId="7E01CDE3" w14:textId="328BF75F" w:rsidR="002B0953" w:rsidRPr="00074B9D" w:rsidRDefault="002B0953" w:rsidP="00A05951">
            <w:pPr>
              <w:pStyle w:val="Akapitzlist"/>
              <w:numPr>
                <w:ilvl w:val="3"/>
                <w:numId w:val="2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udokumentowany brak nadekspresji receptora HER2 w</w:t>
            </w:r>
            <w:r w:rsidR="0034007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komórkach raka (wynik /0 lub 1+/ w badaniu IHC) lub brak amplifikacji genu HER2 (wynik /-/ w badaniu metodą hybrydyzacji in situ (ISH))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400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6448982" w14:textId="22B8E2FD" w:rsidR="001365E5" w:rsidRPr="00074B9D" w:rsidRDefault="001365E5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brak leczenia kortykosteroidami w dawce większej niż ekwiwalent 10 mg prednizonu dziennie w ciągu ostatniego miesiąca -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400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E5C0670" w14:textId="77777777" w:rsidR="001B35EC" w:rsidRPr="00074B9D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1B6FB1BC" w14:textId="77777777" w:rsidR="002D2840" w:rsidRPr="00074B9D" w:rsidRDefault="006C3F8E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stan sprawności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486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486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skali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4865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270231DF" w14:textId="77777777" w:rsidR="00150249" w:rsidRPr="00074B9D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dekwatna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wydolność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narządowa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określona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laboratoryjnych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umożliwiająca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bezpieczne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rozpoczęcie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terapii;</w:t>
            </w:r>
          </w:p>
          <w:p w14:paraId="1A3FF0CF" w14:textId="77777777" w:rsidR="006C3F8E" w:rsidRPr="00074B9D" w:rsidRDefault="006C3F8E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przeciwwskazań do stosowania każdego z leków zgodnie z aktualną Charakterystyką Produktu Leczniczego (ChPL);</w:t>
            </w:r>
          </w:p>
          <w:p w14:paraId="220602E7" w14:textId="2000B17C" w:rsidR="00412E31" w:rsidRPr="00074B9D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</w:t>
            </w:r>
            <w:r w:rsidR="00412E3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ieobecność</w:t>
            </w:r>
            <w:r w:rsidR="0050776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objawowych </w:t>
            </w:r>
            <w:r w:rsidR="00412E3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2E3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2E31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OUN</w:t>
            </w:r>
            <w:r w:rsidR="0071118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dotyczy leczenia </w:t>
            </w:r>
            <w:r w:rsidR="00711186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3400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</w:t>
            </w:r>
            <w:r w:rsidR="00245CB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tislelizumabem </w:t>
            </w:r>
            <w:r w:rsidR="003400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711186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="00711186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="00711186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245CB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00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245CB4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45CB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130C07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2CEA733C" w14:textId="2EF71ED1" w:rsidR="00711186" w:rsidRPr="00074B9D" w:rsidRDefault="0071118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nieobecność przerzutów do OUN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  <w:r w:rsidR="00D21C8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BAA1941" w14:textId="77777777" w:rsidR="006C3F8E" w:rsidRPr="00074B9D" w:rsidRDefault="006C3F8E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istotnych schorzeń współistniejących stanowiących przeciwwskazanie do terapii stwierdzonych przez lekarza prowadzącego w oparciu o aktualne ChPL;</w:t>
            </w:r>
          </w:p>
          <w:p w14:paraId="146EF4CB" w14:textId="15B75F9B" w:rsidR="00010E38" w:rsidRPr="00074B9D" w:rsidRDefault="00010E38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nieobecność aktywnej choroby autoimmunologicznej wymagającej aktywnego leczenia immunosupresyjnego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400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34007B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797BB71" w14:textId="77777777" w:rsidR="00346856" w:rsidRPr="00074B9D" w:rsidRDefault="0034685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innych nowotworów niekontrolowanych leczeniem;</w:t>
            </w:r>
          </w:p>
          <w:p w14:paraId="02FE95F4" w14:textId="77777777" w:rsidR="00346856" w:rsidRPr="00074B9D" w:rsidRDefault="0034685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zgoda pacjenta na prowadzenie antykoncepcji zgodnie z aktualną ChPL;</w:t>
            </w:r>
          </w:p>
          <w:p w14:paraId="204DFDB0" w14:textId="77777777" w:rsidR="00A07636" w:rsidRPr="00074B9D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wykluczenie ciąży oraz okresu karmienia piersią.</w:t>
            </w:r>
          </w:p>
          <w:p w14:paraId="3F1DE12E" w14:textId="398BA129" w:rsidR="00A07636" w:rsidRPr="00074B9D" w:rsidRDefault="00A0763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nadekspresja receptora HER2 w komórkach raka określana jako wynik IHC /3+/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IHC /2+/</w:t>
            </w:r>
            <w:r w:rsidR="00E80FE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F11A0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wynik + w badaniu ISH – dotyczy </w:t>
            </w:r>
            <w:r w:rsidR="00AC5C8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AC5C83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E93DF4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032BB726" w14:textId="77777777" w:rsidR="00A07636" w:rsidRPr="00074B9D" w:rsidRDefault="00A07636" w:rsidP="00A07636">
            <w:pPr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218E26C" w14:textId="77777777" w:rsidR="007D6DCC" w:rsidRPr="00074B9D" w:rsidRDefault="007D6DC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4FB31E47" w14:textId="77777777" w:rsidR="002E6FA3" w:rsidRPr="00074B9D" w:rsidRDefault="002E6FA3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59D69DA" w14:textId="4DBC0BF1" w:rsidR="001B35EC" w:rsidRPr="00074B9D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</w:t>
            </w:r>
          </w:p>
          <w:p w14:paraId="22F2A4CB" w14:textId="77777777" w:rsidR="0053491C" w:rsidRPr="00074B9D" w:rsidRDefault="0053491C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1A8B5FE" w14:textId="77777777" w:rsidR="00FD4D84" w:rsidRPr="00074B9D" w:rsidRDefault="00FD4D84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05ABE98" w14:textId="77777777" w:rsidR="00545E7F" w:rsidRPr="00074B9D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podjęcia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świadczeniobiorcy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kryteriami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</w:p>
          <w:p w14:paraId="444EA795" w14:textId="6AF7E387" w:rsidR="001B35EC" w:rsidRPr="00074B9D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leczenia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157A8"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="00F157A8"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u chorych bez progresji lub niedopuszczalnej toksyczności leczenie trwa maksymalnie 24 miesiące.</w:t>
            </w:r>
          </w:p>
          <w:p w14:paraId="66D49FA3" w14:textId="77777777" w:rsidR="006647B9" w:rsidRPr="00074B9D" w:rsidRDefault="006647B9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Maksymalny okres opóźnienia podania kolejnego kursu leczenia może wynosić:</w:t>
            </w:r>
          </w:p>
          <w:p w14:paraId="05FD2003" w14:textId="3FDE1B53" w:rsidR="006647B9" w:rsidRPr="00074B9D" w:rsidRDefault="006647B9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12 tygodni w przypadku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157A8"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="00F157A8"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F10904E" w14:textId="77777777" w:rsidR="00D20DF4" w:rsidRPr="00074B9D" w:rsidRDefault="006647B9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 tygodni w przypadku leczeni</w:t>
            </w:r>
            <w:r w:rsidR="006D06B0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D20DF4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AC1C6DD" w14:textId="17DF4863" w:rsidR="006647B9" w:rsidRPr="00074B9D" w:rsidRDefault="00D20DF4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zgodnie z ChPL w przypadku </w:t>
            </w:r>
            <w:r w:rsidRPr="00074B9D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t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rastuzumabu derukstekanu.</w:t>
            </w:r>
          </w:p>
          <w:p w14:paraId="3019BF82" w14:textId="77777777" w:rsidR="006647B9" w:rsidRPr="00074B9D" w:rsidRDefault="006647B9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AD6851" w14:textId="77777777" w:rsidR="00B46C10" w:rsidRPr="00074B9D" w:rsidRDefault="00327DE7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E58BD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</w:p>
          <w:p w14:paraId="09879E9B" w14:textId="77777777" w:rsidR="007B609E" w:rsidRPr="00074B9D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nowotworowej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aktualnie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obowiązującymi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50776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(w przypadku </w:t>
            </w:r>
            <w:r w:rsidR="0050776C"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niwolumabu</w:t>
            </w:r>
            <w:r w:rsidR="0050776C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w razie potrzeby powinna być potwierdzona na podstawie kolejnej oceny badaniem obrazowym wykonanym nie wcześniej niż po upływie 4 tygodni);</w:t>
            </w:r>
          </w:p>
          <w:p w14:paraId="32DC561C" w14:textId="77777777" w:rsidR="001B35EC" w:rsidRPr="00074B9D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jakości życia o istotnym znaczeniu według oceny lekarza;</w:t>
            </w:r>
          </w:p>
          <w:p w14:paraId="49E033AF" w14:textId="77777777" w:rsidR="001B35EC" w:rsidRPr="00074B9D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392B8D4D" w14:textId="77777777" w:rsidR="00DA061D" w:rsidRPr="00074B9D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56D89CD0" w14:textId="77777777" w:rsidR="00DA061D" w:rsidRPr="00074B9D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F04A93C" w14:textId="77777777" w:rsidR="00DA061D" w:rsidRPr="00074B9D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stanu sprawności do stopnia 2-4 według skali ECOG;</w:t>
            </w:r>
          </w:p>
          <w:p w14:paraId="00DD3C31" w14:textId="77777777" w:rsidR="00321CAD" w:rsidRPr="00074B9D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173D7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kres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piersią</w:t>
            </w:r>
            <w:r w:rsidR="00DA061D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2A98CCE" w14:textId="77777777" w:rsidR="00FC08AD" w:rsidRDefault="00DA061D" w:rsidP="00181EC9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współpracy lub nieprzestrzeganie zaleceń lekarskich, w</w:t>
            </w:r>
            <w:r w:rsidR="00A5227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tym zwłaszcza dotyczących okresowych badań kontrolnych oceniających skuteczność i bezpieczeństwo leczenia ze strony świadczeniobiorcy lub jego prawnych opiekunów</w:t>
            </w:r>
            <w:r w:rsidR="00005A3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8F308E9" w14:textId="542A96CA" w:rsidR="00005A33" w:rsidRPr="00074B9D" w:rsidRDefault="00005A33" w:rsidP="00005A33">
            <w:pPr>
              <w:spacing w:after="60"/>
              <w:ind w:left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EA9A4EB" w14:textId="062E9210" w:rsidR="009F04BF" w:rsidRPr="00074B9D" w:rsidRDefault="00260948" w:rsidP="00FC08AD">
            <w:pPr>
              <w:pStyle w:val="Akapitzlist"/>
              <w:numPr>
                <w:ilvl w:val="0"/>
                <w:numId w:val="4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</w:t>
            </w:r>
            <w:r w:rsidR="009F04BF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awkowani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</w:p>
          <w:p w14:paraId="2D4B0BAA" w14:textId="77777777" w:rsidR="0050776C" w:rsidRPr="00074B9D" w:rsidRDefault="00BD2201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</w:p>
          <w:p w14:paraId="330B4E41" w14:textId="5D11773E" w:rsidR="0050776C" w:rsidRPr="00074B9D" w:rsidRDefault="00260948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Szczegóły dotyczące dawkowania i sposobu podawania, ewentualnego czasowego wstrzymania leczenia oraz ewentualnego zmniejszania dawki leku zgodnie z aktualną Charakterystyką Produktu Leczniczego</w:t>
            </w:r>
            <w:r w:rsidR="0050776C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53C5D0C1" w14:textId="1E83DA98" w:rsidR="0050776C" w:rsidRPr="00074B9D" w:rsidRDefault="0050776C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Dawkowanie chemioterapii opartej na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i pochodnej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oksalip</w:t>
            </w:r>
            <w:r w:rsidR="0023658D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l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atynie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kapecytabinie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-</w:t>
            </w:r>
            <w:r w:rsidR="00D221B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według schematu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CAPOX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E274F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stosowanej w leczeniu skojarzonym zgodnie z odpowiednimi </w:t>
            </w:r>
            <w:r w:rsidR="009F04BF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oraz praktyką kliniczną.</w:t>
            </w:r>
          </w:p>
          <w:p w14:paraId="66E65E58" w14:textId="30E44D64" w:rsidR="0050776C" w:rsidRPr="00074B9D" w:rsidRDefault="0050776C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wystąpienia nieakceptowalnej toksyczności w wyniku stosowania</w:t>
            </w:r>
            <w:r w:rsidR="00E274F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chemioterapii możliwe jest odstawienie leczenia cytotoksycznego i kontynuowanie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55EA0B5" w14:textId="77777777" w:rsidR="003133A8" w:rsidRPr="00074B9D" w:rsidRDefault="003133A8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6988AAC" w14:textId="77777777" w:rsidR="003133A8" w:rsidRPr="00074B9D" w:rsidRDefault="003133A8" w:rsidP="003133A8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tislelizumab</w:t>
            </w:r>
          </w:p>
          <w:p w14:paraId="150CC52C" w14:textId="457B7A64" w:rsidR="003133A8" w:rsidRPr="00074B9D" w:rsidRDefault="003133A8" w:rsidP="003133A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Zalecana dawka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tislelizumabu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200 mg co 3 tygodnie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r w:rsidRPr="00074B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400 mg co 6 tygodni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5F4F6E9" w14:textId="77777777" w:rsidR="003133A8" w:rsidRPr="00074B9D" w:rsidRDefault="003133A8" w:rsidP="003133A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Dawkowanie chemioterapii opartej na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fluoropirymidynie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pochodnej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platyny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cisplatyna + 5-fluorouracyl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schemat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CAPOX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) stosowanej w leczeniu skojarzonym</w:t>
            </w:r>
            <w:r w:rsidRPr="00074B9D">
              <w:t xml:space="preserve"> </w:t>
            </w: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>zgodnie z odpowiednimi ChPL oraz praktyką kliniczną.</w:t>
            </w:r>
          </w:p>
          <w:p w14:paraId="41B11EE3" w14:textId="77777777" w:rsidR="003133A8" w:rsidRPr="00074B9D" w:rsidRDefault="003133A8" w:rsidP="003133A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wystąpienia nieakceptowalnej toksyczności w wyniku stosowania chemioterapii możliwe jest odstawienie leczenia cytotoksycznego i kontynuowanie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tislelizumabem.</w:t>
            </w:r>
          </w:p>
          <w:p w14:paraId="2EBE34D4" w14:textId="77777777" w:rsidR="00D221BB" w:rsidRPr="00074B9D" w:rsidRDefault="00D221BB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1FD8135" w14:textId="77777777" w:rsidR="001B2058" w:rsidRPr="00074B9D" w:rsidRDefault="00BD2201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ramucyrumab</w:t>
            </w:r>
          </w:p>
          <w:p w14:paraId="0552A014" w14:textId="7D5135F8" w:rsidR="002E044D" w:rsidRPr="00074B9D" w:rsidRDefault="00260948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Szczegóły dotyczące dawkowania i sposobu podawania, ewentualnego czasowego wstrzymania leczenia oraz ewentualnego zmniejszania dawki leku zgodnie z aktualną Charakterystyką Produktu Leczniczego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DD3E03A" w14:textId="77777777" w:rsidR="002E044D" w:rsidRPr="00074B9D" w:rsidRDefault="00BD2201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A2242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paklitakselu</w:t>
            </w:r>
            <w:r w:rsidR="00A2242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mg/m2</w:t>
            </w:r>
            <w:r w:rsidR="002E044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242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242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8.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242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15.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cyklu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trwającego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</w:t>
            </w:r>
            <w:r w:rsidR="00ED33DB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dni.</w:t>
            </w:r>
          </w:p>
          <w:p w14:paraId="544DFD6A" w14:textId="77777777" w:rsidR="002E044D" w:rsidRPr="00074B9D" w:rsidRDefault="002E044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premedykację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antagonistą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histaminowego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H1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przykład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difenhydraminą).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reakcji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nadwrażliwości,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postępowanie,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premedykacji,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4EFFBE5F" w14:textId="77777777" w:rsidR="002E044D" w:rsidRPr="00074B9D" w:rsidRDefault="002E044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Premedykacja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paklitakselu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praktyką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kliniczną.</w:t>
            </w:r>
          </w:p>
          <w:p w14:paraId="75C1261B" w14:textId="77777777" w:rsidR="00871C2B" w:rsidRPr="00074B9D" w:rsidRDefault="00871C2B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3E53C3D" w14:textId="77777777" w:rsidR="00C52775" w:rsidRPr="00074B9D" w:rsidRDefault="00D221BB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 z typiracylem</w:t>
            </w:r>
          </w:p>
          <w:p w14:paraId="0C84D970" w14:textId="6B788DE8" w:rsidR="006A68EA" w:rsidRPr="00074B9D" w:rsidRDefault="00877E8D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Szczegóły dotyczące dawkowania i sposobu podawania, ewentualnego czasowego wstrzymania leczenia oraz ewentualnego zmniejszania dawki leku zgodnie z aktualną Charakterystyką Produktu Leczniczego</w:t>
            </w:r>
            <w:r w:rsidR="00D221B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40251F3" w14:textId="77777777" w:rsidR="00AC5C83" w:rsidRPr="00074B9D" w:rsidRDefault="00AC5C8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21BB3D4" w14:textId="580A3E1B" w:rsidR="007F31F8" w:rsidRPr="00074B9D" w:rsidRDefault="00AC5C83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trastuzumab derukstekan</w:t>
            </w:r>
          </w:p>
          <w:p w14:paraId="14E2D107" w14:textId="7A1822DF" w:rsidR="006F49BD" w:rsidRPr="00074B9D" w:rsidRDefault="003B6191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Szczegóły dotyczące </w:t>
            </w:r>
            <w:r w:rsidR="00085C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dawkowania i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2" w:type="dxa"/>
          </w:tcPr>
          <w:p w14:paraId="5C79A9DF" w14:textId="77777777" w:rsidR="00A525B6" w:rsidRPr="00074B9D" w:rsidRDefault="00954E7E" w:rsidP="00495E4B">
            <w:pPr>
              <w:pStyle w:val="Akapitzlist"/>
              <w:numPr>
                <w:ilvl w:val="0"/>
                <w:numId w:val="5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</w:t>
            </w:r>
            <w:r w:rsidR="00400131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dania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4135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4135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4276BB6C" w14:textId="77777777" w:rsidR="000933D2" w:rsidRPr="00074B9D" w:rsidRDefault="000933D2" w:rsidP="00A05951">
            <w:pPr>
              <w:pStyle w:val="Akapitzlist"/>
              <w:numPr>
                <w:ilvl w:val="1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Badania ogólne</w:t>
            </w:r>
          </w:p>
          <w:p w14:paraId="6000F380" w14:textId="77777777" w:rsidR="00A2242B" w:rsidRPr="00074B9D" w:rsidRDefault="00A2242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badanie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histologiczne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celu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potwierdzenia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gruczolakoraka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żołądka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lub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połączenia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przełykowo-żołądkowego</w:t>
            </w:r>
            <w:r w:rsidR="0082569F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F8A6A77" w14:textId="77777777" w:rsidR="002C26DE" w:rsidRPr="00074B9D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rozmazem;</w:t>
            </w:r>
          </w:p>
          <w:p w14:paraId="1C231F77" w14:textId="77777777" w:rsidR="002C26DE" w:rsidRPr="00074B9D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kreatyniny;</w:t>
            </w:r>
          </w:p>
          <w:p w14:paraId="0A7ACF9B" w14:textId="77777777" w:rsidR="002C26DE" w:rsidRPr="00074B9D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bilirubiny;</w:t>
            </w:r>
          </w:p>
          <w:p w14:paraId="247B29B4" w14:textId="77777777" w:rsidR="002C26DE" w:rsidRPr="00074B9D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alaninowej;</w:t>
            </w:r>
          </w:p>
          <w:p w14:paraId="23FBA14E" w14:textId="77777777" w:rsidR="002C26DE" w:rsidRPr="00074B9D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asparaginianowej;</w:t>
            </w:r>
          </w:p>
          <w:p w14:paraId="0767E8AF" w14:textId="77777777" w:rsidR="009C068F" w:rsidRPr="00074B9D" w:rsidRDefault="0081378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test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ciążowy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kobiet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wieku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prokreacyjnym;</w:t>
            </w:r>
          </w:p>
          <w:p w14:paraId="38562FA8" w14:textId="77777777" w:rsidR="00E168F9" w:rsidRPr="00074B9D" w:rsidRDefault="00E168F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RTG lub tomografia komputerowa klatki piersiowej – wybór rodzaju badania w zależności od możliwości oceny wymiarów zmian i wskazań klinicznych;</w:t>
            </w:r>
          </w:p>
          <w:p w14:paraId="5D6F0EB4" w14:textId="77777777" w:rsidR="00E168F9" w:rsidRPr="00074B9D" w:rsidRDefault="00E168F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tomografia komputerowa jamy brzusznej i miednicy;</w:t>
            </w:r>
          </w:p>
          <w:p w14:paraId="17998E30" w14:textId="6BF04588" w:rsidR="00F41F18" w:rsidRPr="00074B9D" w:rsidRDefault="000933D2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elektrokardiografia (EKG);</w:t>
            </w:r>
          </w:p>
          <w:p w14:paraId="318EDE42" w14:textId="77777777" w:rsidR="00E168F9" w:rsidRPr="00074B9D" w:rsidRDefault="00E168F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inne badania laboratoryjne i obrazowe w razie wskazań klinicznych.</w:t>
            </w:r>
          </w:p>
          <w:p w14:paraId="50F146BE" w14:textId="44C20430" w:rsidR="0050776C" w:rsidRPr="00074B9D" w:rsidRDefault="0050776C" w:rsidP="008F7F7B">
            <w:pPr>
              <w:pStyle w:val="Akapitzlist"/>
              <w:numPr>
                <w:ilvl w:val="1"/>
                <w:numId w:val="5"/>
              </w:numPr>
              <w:spacing w:after="60"/>
              <w:ind w:left="720" w:hanging="72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Badania wykonywane dodatkowo w przypadku leczenia </w:t>
            </w:r>
            <w:r w:rsidRPr="00074B9D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8F7F7B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7F7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lub </w:t>
            </w:r>
            <w:r w:rsidR="008F7F7B" w:rsidRPr="00074B9D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:</w:t>
            </w:r>
          </w:p>
          <w:p w14:paraId="5333CCC6" w14:textId="77777777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immunohistochemiczne lub hybrydyzacji in situ oceniające ekspresję HER2;</w:t>
            </w:r>
          </w:p>
          <w:p w14:paraId="0543BB66" w14:textId="23FEA4A4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potwierdzenie zwalidowanym testem ekspresji PD-L1 wg skali CPS (combined positive score)</w:t>
            </w:r>
            <w:r w:rsidR="00E274F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5</w:t>
            </w:r>
            <w:r w:rsidR="008F7F7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dotyczy leczenia </w:t>
            </w:r>
            <w:r w:rsidR="008F7F7B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35C3DC1" w14:textId="6EE65A0B" w:rsidR="008F7F7B" w:rsidRPr="00074B9D" w:rsidRDefault="008F7F7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potwierdzenie 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ekspresji PD-L1 w tkance nowotworowej</w:t>
            </w:r>
            <w:r w:rsidRPr="00074B9D">
              <w:rPr>
                <w:rStyle w:val="Odwoaniedokomentarza"/>
                <w:rFonts w:ascii="Calibri" w:eastAsiaTheme="minorEastAsia" w:hAnsi="Calibri" w:cstheme="minorBidi"/>
                <w:lang w:val="en-GB" w:eastAsia="en-GB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≥ 5 % za pomocą przeznaczonego do tego celu testu IVD posiadającego oznakowanie CE. Jeśli oznaczenie za pomocą testu CE IVD nie jest dostępne, należy zastosować alternatywny zwalidowany test – 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tislelizumabem</w:t>
            </w:r>
            <w:r w:rsidRPr="00074B9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278E803" w14:textId="7AFEFDD1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stężenia glukozy;</w:t>
            </w:r>
          </w:p>
          <w:p w14:paraId="43697828" w14:textId="77777777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 poziomu sodu, potasu;</w:t>
            </w:r>
          </w:p>
          <w:p w14:paraId="403371CB" w14:textId="77777777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poziomu </w:t>
            </w:r>
            <w:r w:rsidR="00A90286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f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T4 i TSH.</w:t>
            </w:r>
          </w:p>
          <w:p w14:paraId="10A15BBB" w14:textId="77777777" w:rsidR="00C52775" w:rsidRPr="00074B9D" w:rsidRDefault="00C52775" w:rsidP="00A05951">
            <w:pPr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wykonywane dodatkowo w przypadku leczenia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1948C664" w14:textId="77777777" w:rsidR="00C52775" w:rsidRPr="00074B9D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czasu protrombinowego lub INR;</w:t>
            </w:r>
          </w:p>
          <w:p w14:paraId="17EF9950" w14:textId="77777777" w:rsidR="00C52775" w:rsidRPr="00074B9D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czasu częściowej tromboplastyny po aktywacji (aPTT);</w:t>
            </w:r>
          </w:p>
          <w:p w14:paraId="5DD94144" w14:textId="77777777" w:rsidR="00C52775" w:rsidRPr="00074B9D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 (jeśli w wyniku badania stwierdza się obecność białka na co najmniej 2+ należy zlecić 24-godzinną zbiórkę moczu);</w:t>
            </w:r>
          </w:p>
          <w:p w14:paraId="72A9B82C" w14:textId="77777777" w:rsidR="00C52775" w:rsidRPr="00074B9D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pomiar ciśnienia tętniczego.</w:t>
            </w:r>
          </w:p>
          <w:p w14:paraId="740B7474" w14:textId="77777777" w:rsidR="00C52775" w:rsidRPr="00074B9D" w:rsidRDefault="00C52775" w:rsidP="00A05951">
            <w:pPr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wykonywane dodatkowo w przypadku leczenia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074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767F8BBC" w14:textId="77777777" w:rsidR="00C52775" w:rsidRPr="00074B9D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moczu.</w:t>
            </w:r>
          </w:p>
          <w:p w14:paraId="3CBC7FD0" w14:textId="6FFC5597" w:rsidR="0039673C" w:rsidRPr="00074B9D" w:rsidRDefault="0039673C" w:rsidP="00A05951">
            <w:pPr>
              <w:pStyle w:val="Akapitzlist"/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Badania wykonywane dodatkowo w przypadku leczenia </w:t>
            </w:r>
            <w:r w:rsidRPr="00074B9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1F870EB" w14:textId="296E89CA" w:rsidR="0039673C" w:rsidRPr="00074B9D" w:rsidRDefault="004B561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immunohistochemiczne lub hybrydyzacji in situ potwierdzające nadekspresję receptora HER2</w:t>
            </w:r>
            <w:r w:rsidR="00D842E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377D0A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 </w:t>
            </w:r>
            <w:r w:rsidR="00D842E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</w:t>
            </w:r>
            <w:r w:rsidR="00377D0A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ości</w:t>
            </w:r>
            <w:r w:rsidR="00D842E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wykorzystani</w:t>
            </w:r>
            <w:r w:rsidR="00377D0A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842E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badania wykonanego wcześniej</w:t>
            </w:r>
            <w:r w:rsidR="007E5F57" w:rsidRPr="00074B9D">
              <w:t xml:space="preserve">, </w:t>
            </w:r>
            <w:r w:rsidR="007E5F5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 wyjątkiem sytuacji, w których ponowne wykonanie badania </w:t>
            </w:r>
            <w:r w:rsidR="007E5F5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nie jest możliwe ze względów klinicznych lub z powodu braku możliwości pobrania tkanki do badania</w:t>
            </w:r>
            <w:r w:rsidR="00D842E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1620A668" w14:textId="77777777" w:rsidR="002028D8" w:rsidRPr="00074B9D" w:rsidRDefault="002028D8" w:rsidP="00A05951">
            <w:p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14:paraId="7D9CA80A" w14:textId="77777777" w:rsidR="006A68EA" w:rsidRPr="00074B9D" w:rsidRDefault="00954E7E" w:rsidP="00A05951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D7D38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bezpieczeństwa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7DE773AD" w14:textId="77777777" w:rsidR="009A639B" w:rsidRPr="00074B9D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rozmazem;</w:t>
            </w:r>
          </w:p>
          <w:p w14:paraId="334DB15B" w14:textId="77777777" w:rsidR="009A639B" w:rsidRPr="00074B9D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kreatyniny;</w:t>
            </w:r>
          </w:p>
          <w:p w14:paraId="4699AD20" w14:textId="77777777" w:rsidR="009A639B" w:rsidRPr="00074B9D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bilirubiny;</w:t>
            </w:r>
          </w:p>
          <w:p w14:paraId="10937FE4" w14:textId="77777777" w:rsidR="009A639B" w:rsidRPr="00074B9D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alaninowej;</w:t>
            </w:r>
          </w:p>
          <w:p w14:paraId="059E0A73" w14:textId="77777777" w:rsidR="009A639B" w:rsidRPr="00074B9D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asparaginianowej;</w:t>
            </w:r>
          </w:p>
          <w:p w14:paraId="1B038F3C" w14:textId="5DA65C5A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stężenia glukozy – dotyczy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243E91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lub </w:t>
            </w:r>
            <w:r w:rsidR="00243E91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29A9FC6" w14:textId="5EF7B658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poziomu sodu i potasu – dotyczy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243E91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lub </w:t>
            </w:r>
            <w:r w:rsidR="00243E91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0F06ADD" w14:textId="57D30B24" w:rsidR="0050776C" w:rsidRPr="00074B9D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poziomu </w:t>
            </w:r>
            <w:r w:rsidR="000933D2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f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T4 i TSH – dotyczy leczenia </w:t>
            </w:r>
            <w:r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243E91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lub </w:t>
            </w:r>
            <w:r w:rsidR="00243E91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tislelizumabem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240648C" w14:textId="77777777" w:rsidR="000A0EE8" w:rsidRPr="00074B9D" w:rsidRDefault="000A0EE8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badanie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parametrów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układu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krzepnięcia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razie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wskazań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klinicznych</w:t>
            </w:r>
            <w:r w:rsidR="000D15F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0D15FE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ramucyrumabem</w:t>
            </w:r>
            <w:r w:rsidR="00DF512D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B5E148B" w14:textId="1E04E6DB" w:rsidR="000D15FE" w:rsidRPr="00074B9D" w:rsidRDefault="00CF1BE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EKG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razie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wskazań</w:t>
            </w:r>
            <w:r w:rsidR="00ED33DB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klinicznych</w:t>
            </w:r>
            <w:r w:rsidR="00C6794E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346EF7C" w14:textId="2777E48F" w:rsidR="009C068F" w:rsidRPr="00074B9D" w:rsidRDefault="000D15F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ogólne moczu –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leczenia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074B9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</w:p>
          <w:p w14:paraId="035E63D5" w14:textId="77777777" w:rsidR="009A639B" w:rsidRPr="00074B9D" w:rsidRDefault="009A639B" w:rsidP="00A05951">
            <w:pPr>
              <w:pStyle w:val="Akapitzlist"/>
              <w:snapToGrid w:val="0"/>
              <w:spacing w:after="60"/>
              <w:ind w:left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wykonuje</w:t>
            </w:r>
            <w:r w:rsidR="00ED33DB"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się:</w:t>
            </w:r>
          </w:p>
          <w:p w14:paraId="5728988D" w14:textId="291D8BE0" w:rsidR="001365E5" w:rsidRPr="00074B9D" w:rsidRDefault="001365E5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12 tygodni lub częściej, jeśli wymaga tego stan kliniczny pacjenta w przypadku leczenia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243E91" w:rsidRPr="00074B9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lub </w:t>
            </w:r>
            <w:r w:rsidR="00243E91" w:rsidRPr="00074B9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tislelizumabem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B713F93" w14:textId="1EA50FE7" w:rsidR="001228A3" w:rsidRPr="00074B9D" w:rsidRDefault="001228A3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93657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2A0C8E3" w14:textId="1F5FB875" w:rsidR="001365E5" w:rsidRPr="00074B9D" w:rsidRDefault="001365E5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cyklem podania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D47882C" w14:textId="4254EA7D" w:rsidR="0050776C" w:rsidRPr="00074B9D" w:rsidRDefault="0050776C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u chorych poddawanych chemioterapii skojarzonej z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43E91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chemioterapii skojarzonej z </w:t>
            </w:r>
            <w:r w:rsidR="00243E91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tislelizumabem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umożliwiające podanie kolejnego kursu wykonuje się zgodnie z praktyk</w:t>
            </w:r>
            <w:r w:rsidR="00243E91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ą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kliniczną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C400CC6" w14:textId="6E071800" w:rsidR="00093657" w:rsidRPr="00074B9D" w:rsidRDefault="009D2B59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paklitakselu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ppkt</w:t>
            </w:r>
            <w:r w:rsidR="00173D8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C068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0A0EE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2CD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A0EE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2CD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A0EE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0EE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2CD2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0A0EE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036ED76" w14:textId="15831276" w:rsidR="002F6766" w:rsidRPr="00074B9D" w:rsidRDefault="002F6766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pomiar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ciśnienia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tętniczego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65085F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="00C401DC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755D0E0" w14:textId="3C840E3E" w:rsidR="00495E4B" w:rsidRPr="00074B9D" w:rsidRDefault="00495E4B" w:rsidP="00243E9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cyklem leczenia – w przypadku leczenia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C401DC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6408010" w14:textId="77777777" w:rsidR="009C068F" w:rsidRPr="00074B9D" w:rsidRDefault="009C068F" w:rsidP="00A05951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37DC880" w14:textId="77777777" w:rsidR="00EF508C" w:rsidRPr="00074B9D" w:rsidRDefault="00690B9E" w:rsidP="00A05951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skuteczności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</w:t>
            </w:r>
            <w:r w:rsidR="008268DA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</w:p>
          <w:p w14:paraId="0B817A78" w14:textId="77777777" w:rsidR="00902456" w:rsidRPr="00074B9D" w:rsidRDefault="00902456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celu monitorowania skuteczności leczenia wykonywane są badania obrazowe konieczne do oceny zmian według aktualnie obowiązujących kryteriów RECIST: tomografia komputerowa jamy brzusznej i miednicy, tomografia komputerowa lub RTG klatki piersiowej lub inne badania w razie wskazań klinicznych.</w:t>
            </w:r>
          </w:p>
          <w:p w14:paraId="01440844" w14:textId="77777777" w:rsidR="00902456" w:rsidRPr="00074B9D" w:rsidRDefault="00902456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 odpowiedzi na leczenie powinno być wykonywane z wykorzystaniem metody identycznej do wykorzystanej podczas kwalifikowania do leczenia. Wykonane badania obrazowe muszą umożliwić obiektywną ocenę odpowiedzi na leczenie.</w:t>
            </w:r>
          </w:p>
          <w:p w14:paraId="29FDD4CC" w14:textId="77777777" w:rsidR="00902456" w:rsidRPr="00074B9D" w:rsidRDefault="00902456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wykonuje się:</w:t>
            </w:r>
          </w:p>
          <w:p w14:paraId="09D96384" w14:textId="6A93BA13" w:rsidR="00902456" w:rsidRPr="00074B9D" w:rsidRDefault="005C2B5D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</w:t>
            </w:r>
            <w:r w:rsidR="00902456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 12 tygodni w przypadku leczenia </w:t>
            </w:r>
            <w:r w:rsidR="00902456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A862B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A862B3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tislelizumabem </w:t>
            </w:r>
            <w:r w:rsidR="00A862B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="00A862B3"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3CB6FEA" w14:textId="762F7077" w:rsidR="00902456" w:rsidRPr="00074B9D" w:rsidRDefault="00902456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8 tygodni (lub przed zakończeniem co drugiego kursu jeśli leczenie było czasowo przerwane) w przypadku leczenia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="00F71755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4C2898A" w14:textId="02AFC888" w:rsidR="00E80CB5" w:rsidRPr="00074B9D" w:rsidRDefault="00902456" w:rsidP="00A862B3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nie rzadziej niż co 12 tygodni (z możliwością 2-tygodniowego opóźnienia daty wykonania w przypadkach uzasadnionych przesunięć w realizowaniu leczenia) w przypadku leczenia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</w:t>
            </w:r>
            <w:r w:rsidRPr="00074B9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A862B3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BE7C005" w14:textId="77777777" w:rsidR="005C2B5D" w:rsidRPr="00074B9D" w:rsidRDefault="005C2B5D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 niezależnie od stosowanej terapii badania monitorujące skuteczność leczenia można wykonać zawsze w przypadku wskazań klinicznych.</w:t>
            </w:r>
          </w:p>
          <w:p w14:paraId="54BE38C3" w14:textId="77777777" w:rsidR="002D7DEE" w:rsidRPr="00074B9D" w:rsidRDefault="002D7DEE" w:rsidP="00A0595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20946C7B" w14:textId="77777777" w:rsidR="002D7DEE" w:rsidRPr="00074B9D" w:rsidRDefault="002D7DEE" w:rsidP="00A05951">
            <w:pPr>
              <w:pStyle w:val="Akapitzlist"/>
              <w:numPr>
                <w:ilvl w:val="5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całkowita (CR) lub częściowa odpowiedź (PR) na leczenie,</w:t>
            </w:r>
          </w:p>
          <w:p w14:paraId="791263C7" w14:textId="77777777" w:rsidR="002D7DEE" w:rsidRPr="00074B9D" w:rsidRDefault="002D7DEE" w:rsidP="00A05951">
            <w:pPr>
              <w:pStyle w:val="Akapitzlist"/>
              <w:numPr>
                <w:ilvl w:val="5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stabilizacja (SD) lub progresja choroby (PD),</w:t>
            </w:r>
          </w:p>
          <w:p w14:paraId="518AB2DE" w14:textId="77777777" w:rsidR="00902456" w:rsidRPr="00074B9D" w:rsidRDefault="002D7DEE" w:rsidP="00A05951">
            <w:pPr>
              <w:pStyle w:val="Akapitzlist"/>
              <w:numPr>
                <w:ilvl w:val="5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całkowite przeżycie (OS) i czas do progresji (PFS).</w:t>
            </w:r>
          </w:p>
          <w:p w14:paraId="4EDA5891" w14:textId="77777777" w:rsidR="00022794" w:rsidRPr="00074B9D" w:rsidRDefault="00022794" w:rsidP="00A05951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9848433" w14:textId="77777777" w:rsidR="00327F38" w:rsidRPr="00074B9D" w:rsidRDefault="00327F38" w:rsidP="00A05951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BD063FB" w14:textId="77777777" w:rsidR="00327F38" w:rsidRPr="00074B9D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327F3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romadzenie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Zdrowia;</w:t>
            </w:r>
          </w:p>
          <w:p w14:paraId="64986AA6" w14:textId="77777777" w:rsidR="00D36C87" w:rsidRPr="00074B9D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327F3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zupełnienie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7DEE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 zawartych w elektronicznym systemie monitorowania programów lekowych, w tym przekazywanie 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464053AC" w14:textId="77777777" w:rsidR="00327F38" w:rsidRPr="00074B9D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27F38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rzekazywanie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papierowej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F86A29" w:rsidRPr="00074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5A3F898" w14:textId="4B7ED3C5" w:rsidR="00173D86" w:rsidRPr="00074B9D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przypadku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pacjentów,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których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mowa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sekcji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Świadczeniobiorcy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E3298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pkt.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1,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jest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wymagane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uzupełnianie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danych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informacji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elektronicznym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systemie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monitorowania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programów</w:t>
            </w:r>
            <w:r w:rsidR="00ED33DB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074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lekowych.</w:t>
            </w:r>
          </w:p>
        </w:tc>
      </w:tr>
    </w:tbl>
    <w:p w14:paraId="036075C6" w14:textId="77777777" w:rsidR="00211BF2" w:rsidRPr="00E93DF4" w:rsidRDefault="00211BF2">
      <w:pPr>
        <w:rPr>
          <w:rFonts w:ascii="Times New Roman" w:hAnsi="Times New Roman" w:cs="Times New Roman"/>
          <w:color w:val="000000" w:themeColor="text1"/>
        </w:rPr>
      </w:pPr>
    </w:p>
    <w:sectPr w:rsidR="00211BF2" w:rsidRPr="00E93DF4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CB735" w14:textId="77777777" w:rsidR="00A7664D" w:rsidRDefault="00A7664D" w:rsidP="0066305F">
      <w:pPr>
        <w:spacing w:after="0" w:line="240" w:lineRule="auto"/>
      </w:pPr>
      <w:r>
        <w:separator/>
      </w:r>
    </w:p>
  </w:endnote>
  <w:endnote w:type="continuationSeparator" w:id="0">
    <w:p w14:paraId="7755B41F" w14:textId="77777777" w:rsidR="00A7664D" w:rsidRDefault="00A7664D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DAA95" w14:textId="77777777" w:rsidR="00A7664D" w:rsidRDefault="00A7664D" w:rsidP="0066305F">
      <w:pPr>
        <w:spacing w:after="0" w:line="240" w:lineRule="auto"/>
      </w:pPr>
      <w:r>
        <w:separator/>
      </w:r>
    </w:p>
  </w:footnote>
  <w:footnote w:type="continuationSeparator" w:id="0">
    <w:p w14:paraId="53704101" w14:textId="77777777" w:rsidR="00A7664D" w:rsidRDefault="00A7664D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60ED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05979B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346547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E7A14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F94507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B8161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D3113D4"/>
    <w:multiLevelType w:val="multilevel"/>
    <w:tmpl w:val="DB921154"/>
    <w:lvl w:ilvl="0">
      <w:start w:val="1"/>
      <w:numFmt w:val="decimal"/>
      <w:lvlText w:val="%1)"/>
      <w:lvlJc w:val="left"/>
      <w:pPr>
        <w:ind w:left="227" w:hanging="227"/>
      </w:pPr>
      <w:rPr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22223BD2"/>
    <w:multiLevelType w:val="multilevel"/>
    <w:tmpl w:val="7C64A84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886626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8903CC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A5A57F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C0011BE"/>
    <w:multiLevelType w:val="multilevel"/>
    <w:tmpl w:val="A986EB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2EB7631"/>
    <w:multiLevelType w:val="multilevel"/>
    <w:tmpl w:val="0986C6E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E69681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535525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4AD28C3"/>
    <w:multiLevelType w:val="hybridMultilevel"/>
    <w:tmpl w:val="CAAC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D752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9EA1CD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F7941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7901B6A"/>
    <w:multiLevelType w:val="multilevel"/>
    <w:tmpl w:val="3B6880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956236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13994844">
    <w:abstractNumId w:val="0"/>
  </w:num>
  <w:num w:numId="2" w16cid:durableId="624970005">
    <w:abstractNumId w:val="14"/>
  </w:num>
  <w:num w:numId="3" w16cid:durableId="480200365">
    <w:abstractNumId w:val="12"/>
  </w:num>
  <w:num w:numId="4" w16cid:durableId="36860738">
    <w:abstractNumId w:val="10"/>
  </w:num>
  <w:num w:numId="5" w16cid:durableId="1308126681">
    <w:abstractNumId w:val="17"/>
  </w:num>
  <w:num w:numId="6" w16cid:durableId="401755947">
    <w:abstractNumId w:val="23"/>
  </w:num>
  <w:num w:numId="7" w16cid:durableId="230847365">
    <w:abstractNumId w:val="9"/>
  </w:num>
  <w:num w:numId="8" w16cid:durableId="426122773">
    <w:abstractNumId w:val="2"/>
  </w:num>
  <w:num w:numId="9" w16cid:durableId="7101434">
    <w:abstractNumId w:val="4"/>
  </w:num>
  <w:num w:numId="10" w16cid:durableId="1103764779">
    <w:abstractNumId w:val="8"/>
  </w:num>
  <w:num w:numId="11" w16cid:durableId="1399523344">
    <w:abstractNumId w:val="11"/>
  </w:num>
  <w:num w:numId="12" w16cid:durableId="1182427591">
    <w:abstractNumId w:val="6"/>
  </w:num>
  <w:num w:numId="13" w16cid:durableId="144978416">
    <w:abstractNumId w:val="15"/>
  </w:num>
  <w:num w:numId="14" w16cid:durableId="1937472241">
    <w:abstractNumId w:val="21"/>
  </w:num>
  <w:num w:numId="15" w16cid:durableId="1387266964">
    <w:abstractNumId w:val="19"/>
  </w:num>
  <w:num w:numId="16" w16cid:durableId="4094291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2217964">
    <w:abstractNumId w:val="5"/>
  </w:num>
  <w:num w:numId="18" w16cid:durableId="649141363">
    <w:abstractNumId w:val="3"/>
  </w:num>
  <w:num w:numId="19" w16cid:durableId="766274305">
    <w:abstractNumId w:val="22"/>
  </w:num>
  <w:num w:numId="20" w16cid:durableId="83961002">
    <w:abstractNumId w:val="18"/>
  </w:num>
  <w:num w:numId="21" w16cid:durableId="1269779222">
    <w:abstractNumId w:val="7"/>
  </w:num>
  <w:num w:numId="22" w16cid:durableId="1008211509">
    <w:abstractNumId w:val="13"/>
  </w:num>
  <w:num w:numId="23" w16cid:durableId="53261372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93"/>
    <w:rsid w:val="00000C20"/>
    <w:rsid w:val="00003D9F"/>
    <w:rsid w:val="000044FB"/>
    <w:rsid w:val="00005A33"/>
    <w:rsid w:val="00010E38"/>
    <w:rsid w:val="0001191B"/>
    <w:rsid w:val="000162BC"/>
    <w:rsid w:val="00017654"/>
    <w:rsid w:val="0002145B"/>
    <w:rsid w:val="00022794"/>
    <w:rsid w:val="00024830"/>
    <w:rsid w:val="00026336"/>
    <w:rsid w:val="000337AD"/>
    <w:rsid w:val="00033B1B"/>
    <w:rsid w:val="00033D41"/>
    <w:rsid w:val="00040182"/>
    <w:rsid w:val="00044A91"/>
    <w:rsid w:val="00047A61"/>
    <w:rsid w:val="000526CB"/>
    <w:rsid w:val="00056117"/>
    <w:rsid w:val="00056193"/>
    <w:rsid w:val="0005669B"/>
    <w:rsid w:val="00057CBD"/>
    <w:rsid w:val="00057EB3"/>
    <w:rsid w:val="00074B9D"/>
    <w:rsid w:val="00081974"/>
    <w:rsid w:val="00082330"/>
    <w:rsid w:val="000856E5"/>
    <w:rsid w:val="00085C29"/>
    <w:rsid w:val="0008646A"/>
    <w:rsid w:val="0009309F"/>
    <w:rsid w:val="000933D2"/>
    <w:rsid w:val="00093657"/>
    <w:rsid w:val="000A030A"/>
    <w:rsid w:val="000A0E95"/>
    <w:rsid w:val="000A0EE8"/>
    <w:rsid w:val="000A154D"/>
    <w:rsid w:val="000A3486"/>
    <w:rsid w:val="000B2B13"/>
    <w:rsid w:val="000B5CEC"/>
    <w:rsid w:val="000B6329"/>
    <w:rsid w:val="000B69D7"/>
    <w:rsid w:val="000B6B9E"/>
    <w:rsid w:val="000B6F37"/>
    <w:rsid w:val="000C14ED"/>
    <w:rsid w:val="000C269D"/>
    <w:rsid w:val="000C41C4"/>
    <w:rsid w:val="000C7AE5"/>
    <w:rsid w:val="000D15FE"/>
    <w:rsid w:val="000D1D2A"/>
    <w:rsid w:val="000D21C6"/>
    <w:rsid w:val="000E2736"/>
    <w:rsid w:val="000E4549"/>
    <w:rsid w:val="000E48B3"/>
    <w:rsid w:val="000E5713"/>
    <w:rsid w:val="000F49EB"/>
    <w:rsid w:val="000F6BDE"/>
    <w:rsid w:val="0010306D"/>
    <w:rsid w:val="00110769"/>
    <w:rsid w:val="001111B5"/>
    <w:rsid w:val="00115B69"/>
    <w:rsid w:val="001169D0"/>
    <w:rsid w:val="00117B36"/>
    <w:rsid w:val="00120FE2"/>
    <w:rsid w:val="00121671"/>
    <w:rsid w:val="001228A3"/>
    <w:rsid w:val="001254BC"/>
    <w:rsid w:val="00126D3D"/>
    <w:rsid w:val="00130C07"/>
    <w:rsid w:val="00130FB7"/>
    <w:rsid w:val="001353B1"/>
    <w:rsid w:val="0013555F"/>
    <w:rsid w:val="00136447"/>
    <w:rsid w:val="001365E5"/>
    <w:rsid w:val="00137A25"/>
    <w:rsid w:val="00143364"/>
    <w:rsid w:val="0014405E"/>
    <w:rsid w:val="00145F5E"/>
    <w:rsid w:val="00150249"/>
    <w:rsid w:val="001504C0"/>
    <w:rsid w:val="001542A1"/>
    <w:rsid w:val="00155905"/>
    <w:rsid w:val="0016142B"/>
    <w:rsid w:val="00167375"/>
    <w:rsid w:val="00167B99"/>
    <w:rsid w:val="00173D7F"/>
    <w:rsid w:val="00173D86"/>
    <w:rsid w:val="0018123C"/>
    <w:rsid w:val="00181C30"/>
    <w:rsid w:val="00181EC9"/>
    <w:rsid w:val="00183DB9"/>
    <w:rsid w:val="001866C9"/>
    <w:rsid w:val="00191F57"/>
    <w:rsid w:val="0019203C"/>
    <w:rsid w:val="00196840"/>
    <w:rsid w:val="001A2786"/>
    <w:rsid w:val="001A56B5"/>
    <w:rsid w:val="001B11B7"/>
    <w:rsid w:val="001B2058"/>
    <w:rsid w:val="001B35EC"/>
    <w:rsid w:val="001B65AD"/>
    <w:rsid w:val="001C1854"/>
    <w:rsid w:val="001C7371"/>
    <w:rsid w:val="001D2113"/>
    <w:rsid w:val="001D33D3"/>
    <w:rsid w:val="001D53B9"/>
    <w:rsid w:val="001D76CC"/>
    <w:rsid w:val="001D7D38"/>
    <w:rsid w:val="001E1DFC"/>
    <w:rsid w:val="001E40BD"/>
    <w:rsid w:val="001E58BD"/>
    <w:rsid w:val="001F11B0"/>
    <w:rsid w:val="002028D8"/>
    <w:rsid w:val="0020408C"/>
    <w:rsid w:val="002046E8"/>
    <w:rsid w:val="00211BF2"/>
    <w:rsid w:val="0021448D"/>
    <w:rsid w:val="00216A41"/>
    <w:rsid w:val="0022150F"/>
    <w:rsid w:val="0022383B"/>
    <w:rsid w:val="00224F2B"/>
    <w:rsid w:val="0022505F"/>
    <w:rsid w:val="00225EF7"/>
    <w:rsid w:val="0023094B"/>
    <w:rsid w:val="00231C21"/>
    <w:rsid w:val="00233AA2"/>
    <w:rsid w:val="002340CB"/>
    <w:rsid w:val="0023658D"/>
    <w:rsid w:val="00236849"/>
    <w:rsid w:val="00243E91"/>
    <w:rsid w:val="00245CB4"/>
    <w:rsid w:val="00250643"/>
    <w:rsid w:val="00250FEB"/>
    <w:rsid w:val="0025141A"/>
    <w:rsid w:val="0025189A"/>
    <w:rsid w:val="00252EF1"/>
    <w:rsid w:val="0025358B"/>
    <w:rsid w:val="0025720B"/>
    <w:rsid w:val="00260948"/>
    <w:rsid w:val="00261DEE"/>
    <w:rsid w:val="00263AA2"/>
    <w:rsid w:val="00264BE5"/>
    <w:rsid w:val="002656AB"/>
    <w:rsid w:val="0027220B"/>
    <w:rsid w:val="00276F34"/>
    <w:rsid w:val="00280C24"/>
    <w:rsid w:val="00282AD9"/>
    <w:rsid w:val="0028388B"/>
    <w:rsid w:val="00284029"/>
    <w:rsid w:val="0028612F"/>
    <w:rsid w:val="00295264"/>
    <w:rsid w:val="002961BF"/>
    <w:rsid w:val="002A0EB7"/>
    <w:rsid w:val="002A171C"/>
    <w:rsid w:val="002A2622"/>
    <w:rsid w:val="002A7337"/>
    <w:rsid w:val="002B02E4"/>
    <w:rsid w:val="002B0953"/>
    <w:rsid w:val="002B25F1"/>
    <w:rsid w:val="002B3BB6"/>
    <w:rsid w:val="002C14FA"/>
    <w:rsid w:val="002C26DE"/>
    <w:rsid w:val="002D0422"/>
    <w:rsid w:val="002D1FAD"/>
    <w:rsid w:val="002D25AA"/>
    <w:rsid w:val="002D2840"/>
    <w:rsid w:val="002D3173"/>
    <w:rsid w:val="002D4A55"/>
    <w:rsid w:val="002D4DDE"/>
    <w:rsid w:val="002D6789"/>
    <w:rsid w:val="002D6F92"/>
    <w:rsid w:val="002D7DEE"/>
    <w:rsid w:val="002E044D"/>
    <w:rsid w:val="002E3298"/>
    <w:rsid w:val="002E6FA3"/>
    <w:rsid w:val="002F0B23"/>
    <w:rsid w:val="002F6766"/>
    <w:rsid w:val="002F6A0B"/>
    <w:rsid w:val="0030171B"/>
    <w:rsid w:val="003020FD"/>
    <w:rsid w:val="00302D48"/>
    <w:rsid w:val="00305CF0"/>
    <w:rsid w:val="003107DC"/>
    <w:rsid w:val="00312E74"/>
    <w:rsid w:val="003133A8"/>
    <w:rsid w:val="0031640A"/>
    <w:rsid w:val="0032136C"/>
    <w:rsid w:val="00321CAD"/>
    <w:rsid w:val="003225D2"/>
    <w:rsid w:val="00322B7F"/>
    <w:rsid w:val="0032484E"/>
    <w:rsid w:val="00327DE7"/>
    <w:rsid w:val="00327F38"/>
    <w:rsid w:val="00331E4D"/>
    <w:rsid w:val="00335029"/>
    <w:rsid w:val="00335A30"/>
    <w:rsid w:val="00336CA5"/>
    <w:rsid w:val="00337BFD"/>
    <w:rsid w:val="0034007B"/>
    <w:rsid w:val="00344865"/>
    <w:rsid w:val="00346856"/>
    <w:rsid w:val="00347260"/>
    <w:rsid w:val="003477B1"/>
    <w:rsid w:val="00350CB5"/>
    <w:rsid w:val="0035424F"/>
    <w:rsid w:val="003615D8"/>
    <w:rsid w:val="00362CCA"/>
    <w:rsid w:val="003645B4"/>
    <w:rsid w:val="00364B47"/>
    <w:rsid w:val="00367D87"/>
    <w:rsid w:val="003744EB"/>
    <w:rsid w:val="003759D6"/>
    <w:rsid w:val="00377D0A"/>
    <w:rsid w:val="003818C2"/>
    <w:rsid w:val="00382952"/>
    <w:rsid w:val="00383488"/>
    <w:rsid w:val="00383C3D"/>
    <w:rsid w:val="003852E9"/>
    <w:rsid w:val="003856FE"/>
    <w:rsid w:val="00385C60"/>
    <w:rsid w:val="0038662F"/>
    <w:rsid w:val="00393985"/>
    <w:rsid w:val="0039673C"/>
    <w:rsid w:val="003968D8"/>
    <w:rsid w:val="003973EC"/>
    <w:rsid w:val="003A10C4"/>
    <w:rsid w:val="003A59E2"/>
    <w:rsid w:val="003A7E24"/>
    <w:rsid w:val="003B158A"/>
    <w:rsid w:val="003B3812"/>
    <w:rsid w:val="003B5FDB"/>
    <w:rsid w:val="003B6191"/>
    <w:rsid w:val="003B75F7"/>
    <w:rsid w:val="003C2E9C"/>
    <w:rsid w:val="003C33BF"/>
    <w:rsid w:val="003C4AAC"/>
    <w:rsid w:val="003C68F2"/>
    <w:rsid w:val="003D0A6B"/>
    <w:rsid w:val="003D622D"/>
    <w:rsid w:val="003E4444"/>
    <w:rsid w:val="003E7B7F"/>
    <w:rsid w:val="003F083F"/>
    <w:rsid w:val="003F1FA4"/>
    <w:rsid w:val="003F5573"/>
    <w:rsid w:val="003F5B04"/>
    <w:rsid w:val="003F7B15"/>
    <w:rsid w:val="003F7DCD"/>
    <w:rsid w:val="00400131"/>
    <w:rsid w:val="00400485"/>
    <w:rsid w:val="004022B9"/>
    <w:rsid w:val="00404EF3"/>
    <w:rsid w:val="00410355"/>
    <w:rsid w:val="00412E31"/>
    <w:rsid w:val="00416885"/>
    <w:rsid w:val="00416A5A"/>
    <w:rsid w:val="0041749E"/>
    <w:rsid w:val="00420A30"/>
    <w:rsid w:val="00424F6D"/>
    <w:rsid w:val="004251AD"/>
    <w:rsid w:val="004347FA"/>
    <w:rsid w:val="004362EC"/>
    <w:rsid w:val="00441773"/>
    <w:rsid w:val="004518DB"/>
    <w:rsid w:val="00452F82"/>
    <w:rsid w:val="00456C7D"/>
    <w:rsid w:val="00456CB5"/>
    <w:rsid w:val="00457263"/>
    <w:rsid w:val="00460E3B"/>
    <w:rsid w:val="00461B30"/>
    <w:rsid w:val="0047074F"/>
    <w:rsid w:val="00477D31"/>
    <w:rsid w:val="0048012E"/>
    <w:rsid w:val="00480B6D"/>
    <w:rsid w:val="00493582"/>
    <w:rsid w:val="00493772"/>
    <w:rsid w:val="00493C5B"/>
    <w:rsid w:val="00494171"/>
    <w:rsid w:val="004944F1"/>
    <w:rsid w:val="00495E4B"/>
    <w:rsid w:val="004A602C"/>
    <w:rsid w:val="004A70D8"/>
    <w:rsid w:val="004A737E"/>
    <w:rsid w:val="004B4658"/>
    <w:rsid w:val="004B51FD"/>
    <w:rsid w:val="004B523B"/>
    <w:rsid w:val="004B5619"/>
    <w:rsid w:val="004B5984"/>
    <w:rsid w:val="004C0AAD"/>
    <w:rsid w:val="004C661E"/>
    <w:rsid w:val="004C6B2C"/>
    <w:rsid w:val="004D0FB1"/>
    <w:rsid w:val="004D1AA5"/>
    <w:rsid w:val="004E162E"/>
    <w:rsid w:val="004E32BB"/>
    <w:rsid w:val="004E4055"/>
    <w:rsid w:val="004E647F"/>
    <w:rsid w:val="004E75A0"/>
    <w:rsid w:val="004F074C"/>
    <w:rsid w:val="004F32D8"/>
    <w:rsid w:val="004F4943"/>
    <w:rsid w:val="004F7C30"/>
    <w:rsid w:val="00502F64"/>
    <w:rsid w:val="0050776C"/>
    <w:rsid w:val="00512B3D"/>
    <w:rsid w:val="005141BA"/>
    <w:rsid w:val="00516963"/>
    <w:rsid w:val="00522686"/>
    <w:rsid w:val="00525F1C"/>
    <w:rsid w:val="00527964"/>
    <w:rsid w:val="0053491C"/>
    <w:rsid w:val="00536BDB"/>
    <w:rsid w:val="00541282"/>
    <w:rsid w:val="00542033"/>
    <w:rsid w:val="005430DB"/>
    <w:rsid w:val="00545E7F"/>
    <w:rsid w:val="00551E45"/>
    <w:rsid w:val="005525FC"/>
    <w:rsid w:val="00555B8B"/>
    <w:rsid w:val="00555D65"/>
    <w:rsid w:val="0055640B"/>
    <w:rsid w:val="005566AA"/>
    <w:rsid w:val="005613FC"/>
    <w:rsid w:val="005621F6"/>
    <w:rsid w:val="00564FF0"/>
    <w:rsid w:val="00565A89"/>
    <w:rsid w:val="00565CD9"/>
    <w:rsid w:val="0057214F"/>
    <w:rsid w:val="00573AEB"/>
    <w:rsid w:val="00574984"/>
    <w:rsid w:val="00574ADB"/>
    <w:rsid w:val="00577552"/>
    <w:rsid w:val="00577610"/>
    <w:rsid w:val="0058377C"/>
    <w:rsid w:val="00584556"/>
    <w:rsid w:val="00590853"/>
    <w:rsid w:val="0059668B"/>
    <w:rsid w:val="005969BD"/>
    <w:rsid w:val="00597D1E"/>
    <w:rsid w:val="005A2751"/>
    <w:rsid w:val="005A2AD3"/>
    <w:rsid w:val="005A510A"/>
    <w:rsid w:val="005A6455"/>
    <w:rsid w:val="005B0FD2"/>
    <w:rsid w:val="005B4763"/>
    <w:rsid w:val="005B4771"/>
    <w:rsid w:val="005C102D"/>
    <w:rsid w:val="005C280E"/>
    <w:rsid w:val="005C2A5D"/>
    <w:rsid w:val="005C2B5D"/>
    <w:rsid w:val="005C37E6"/>
    <w:rsid w:val="005C4A33"/>
    <w:rsid w:val="005C5DD5"/>
    <w:rsid w:val="005C74A1"/>
    <w:rsid w:val="005C79AB"/>
    <w:rsid w:val="005C7DD5"/>
    <w:rsid w:val="005D17F1"/>
    <w:rsid w:val="005D28C3"/>
    <w:rsid w:val="005D4BC8"/>
    <w:rsid w:val="005D4D55"/>
    <w:rsid w:val="005D5929"/>
    <w:rsid w:val="005D5AC9"/>
    <w:rsid w:val="005D6F5F"/>
    <w:rsid w:val="005E354E"/>
    <w:rsid w:val="005E6CE5"/>
    <w:rsid w:val="005F3A4E"/>
    <w:rsid w:val="005F3CC8"/>
    <w:rsid w:val="005F4009"/>
    <w:rsid w:val="005F6249"/>
    <w:rsid w:val="005F628D"/>
    <w:rsid w:val="005F67E1"/>
    <w:rsid w:val="005F7578"/>
    <w:rsid w:val="005F7D97"/>
    <w:rsid w:val="00604C0C"/>
    <w:rsid w:val="00605B73"/>
    <w:rsid w:val="00607103"/>
    <w:rsid w:val="00607CE9"/>
    <w:rsid w:val="00617125"/>
    <w:rsid w:val="00617F7F"/>
    <w:rsid w:val="006215B7"/>
    <w:rsid w:val="0062235C"/>
    <w:rsid w:val="0062370B"/>
    <w:rsid w:val="0063227F"/>
    <w:rsid w:val="00634675"/>
    <w:rsid w:val="00640BC6"/>
    <w:rsid w:val="00642F65"/>
    <w:rsid w:val="00643B10"/>
    <w:rsid w:val="00647DC5"/>
    <w:rsid w:val="0065085F"/>
    <w:rsid w:val="00650942"/>
    <w:rsid w:val="006518DD"/>
    <w:rsid w:val="0066305F"/>
    <w:rsid w:val="006633CE"/>
    <w:rsid w:val="006647B9"/>
    <w:rsid w:val="006710EC"/>
    <w:rsid w:val="00671711"/>
    <w:rsid w:val="00676581"/>
    <w:rsid w:val="00677A20"/>
    <w:rsid w:val="00681FF9"/>
    <w:rsid w:val="00684F2D"/>
    <w:rsid w:val="00690B9E"/>
    <w:rsid w:val="00693E07"/>
    <w:rsid w:val="00694F43"/>
    <w:rsid w:val="00696E05"/>
    <w:rsid w:val="006A0643"/>
    <w:rsid w:val="006A113D"/>
    <w:rsid w:val="006A4330"/>
    <w:rsid w:val="006A497C"/>
    <w:rsid w:val="006A5AC1"/>
    <w:rsid w:val="006A68EA"/>
    <w:rsid w:val="006B5D9A"/>
    <w:rsid w:val="006B650D"/>
    <w:rsid w:val="006B6E13"/>
    <w:rsid w:val="006B7C1E"/>
    <w:rsid w:val="006B7EE8"/>
    <w:rsid w:val="006C23C3"/>
    <w:rsid w:val="006C3BB3"/>
    <w:rsid w:val="006C3F8E"/>
    <w:rsid w:val="006C51DA"/>
    <w:rsid w:val="006D06B0"/>
    <w:rsid w:val="006E0270"/>
    <w:rsid w:val="006E406B"/>
    <w:rsid w:val="006E4CC1"/>
    <w:rsid w:val="006E5392"/>
    <w:rsid w:val="006E5946"/>
    <w:rsid w:val="006E69C9"/>
    <w:rsid w:val="006F0CE0"/>
    <w:rsid w:val="006F3E67"/>
    <w:rsid w:val="006F49BD"/>
    <w:rsid w:val="0071030C"/>
    <w:rsid w:val="00711186"/>
    <w:rsid w:val="007122E4"/>
    <w:rsid w:val="007146AE"/>
    <w:rsid w:val="00716264"/>
    <w:rsid w:val="00717BE5"/>
    <w:rsid w:val="00723C4E"/>
    <w:rsid w:val="00724541"/>
    <w:rsid w:val="007259ED"/>
    <w:rsid w:val="00731A0B"/>
    <w:rsid w:val="00733800"/>
    <w:rsid w:val="00736777"/>
    <w:rsid w:val="00740A91"/>
    <w:rsid w:val="00742870"/>
    <w:rsid w:val="00743B44"/>
    <w:rsid w:val="00751A94"/>
    <w:rsid w:val="00751BC1"/>
    <w:rsid w:val="007532AB"/>
    <w:rsid w:val="0075465B"/>
    <w:rsid w:val="00754D7B"/>
    <w:rsid w:val="00754DED"/>
    <w:rsid w:val="007553F1"/>
    <w:rsid w:val="00755A41"/>
    <w:rsid w:val="00757D8D"/>
    <w:rsid w:val="0076324F"/>
    <w:rsid w:val="00763CE7"/>
    <w:rsid w:val="00764815"/>
    <w:rsid w:val="00765A7A"/>
    <w:rsid w:val="00766A7A"/>
    <w:rsid w:val="00766C3A"/>
    <w:rsid w:val="007676DD"/>
    <w:rsid w:val="00772BEC"/>
    <w:rsid w:val="0078187D"/>
    <w:rsid w:val="00785D8E"/>
    <w:rsid w:val="00786656"/>
    <w:rsid w:val="00787992"/>
    <w:rsid w:val="007910D3"/>
    <w:rsid w:val="00795897"/>
    <w:rsid w:val="00796F87"/>
    <w:rsid w:val="007A06D7"/>
    <w:rsid w:val="007A1952"/>
    <w:rsid w:val="007A738B"/>
    <w:rsid w:val="007B1617"/>
    <w:rsid w:val="007B33AA"/>
    <w:rsid w:val="007B45A7"/>
    <w:rsid w:val="007B58C7"/>
    <w:rsid w:val="007B5CD0"/>
    <w:rsid w:val="007B609E"/>
    <w:rsid w:val="007B62CC"/>
    <w:rsid w:val="007B738F"/>
    <w:rsid w:val="007B740F"/>
    <w:rsid w:val="007C370F"/>
    <w:rsid w:val="007C721A"/>
    <w:rsid w:val="007C775B"/>
    <w:rsid w:val="007D040E"/>
    <w:rsid w:val="007D15B8"/>
    <w:rsid w:val="007D45C6"/>
    <w:rsid w:val="007D56EA"/>
    <w:rsid w:val="007D6DCC"/>
    <w:rsid w:val="007E1BBC"/>
    <w:rsid w:val="007E1D86"/>
    <w:rsid w:val="007E2501"/>
    <w:rsid w:val="007E5F57"/>
    <w:rsid w:val="007F00A6"/>
    <w:rsid w:val="007F31F8"/>
    <w:rsid w:val="007F6CCB"/>
    <w:rsid w:val="0080271B"/>
    <w:rsid w:val="00802D62"/>
    <w:rsid w:val="008074CE"/>
    <w:rsid w:val="00813789"/>
    <w:rsid w:val="00815421"/>
    <w:rsid w:val="00815B4F"/>
    <w:rsid w:val="00820E0F"/>
    <w:rsid w:val="00824707"/>
    <w:rsid w:val="0082569F"/>
    <w:rsid w:val="00826008"/>
    <w:rsid w:val="008268DA"/>
    <w:rsid w:val="008321DD"/>
    <w:rsid w:val="00833E1D"/>
    <w:rsid w:val="00835F2C"/>
    <w:rsid w:val="00836F12"/>
    <w:rsid w:val="008419B2"/>
    <w:rsid w:val="00844A58"/>
    <w:rsid w:val="0085206E"/>
    <w:rsid w:val="008530FC"/>
    <w:rsid w:val="008606D5"/>
    <w:rsid w:val="00860D5E"/>
    <w:rsid w:val="008633A8"/>
    <w:rsid w:val="00866006"/>
    <w:rsid w:val="00866B39"/>
    <w:rsid w:val="00871591"/>
    <w:rsid w:val="00871C2B"/>
    <w:rsid w:val="00873FCC"/>
    <w:rsid w:val="00877958"/>
    <w:rsid w:val="00877E8D"/>
    <w:rsid w:val="008800B2"/>
    <w:rsid w:val="00882013"/>
    <w:rsid w:val="00885AE4"/>
    <w:rsid w:val="00885BB3"/>
    <w:rsid w:val="008869D2"/>
    <w:rsid w:val="00891DE3"/>
    <w:rsid w:val="00892014"/>
    <w:rsid w:val="00894B45"/>
    <w:rsid w:val="00896F58"/>
    <w:rsid w:val="008A3D08"/>
    <w:rsid w:val="008A66D1"/>
    <w:rsid w:val="008A722E"/>
    <w:rsid w:val="008B3212"/>
    <w:rsid w:val="008B4135"/>
    <w:rsid w:val="008B5421"/>
    <w:rsid w:val="008B6490"/>
    <w:rsid w:val="008C14FE"/>
    <w:rsid w:val="008C560F"/>
    <w:rsid w:val="008D187B"/>
    <w:rsid w:val="008D2367"/>
    <w:rsid w:val="008D556C"/>
    <w:rsid w:val="008E1670"/>
    <w:rsid w:val="008E2027"/>
    <w:rsid w:val="008F15A6"/>
    <w:rsid w:val="008F76C6"/>
    <w:rsid w:val="008F7F7B"/>
    <w:rsid w:val="00902456"/>
    <w:rsid w:val="009070AB"/>
    <w:rsid w:val="00911985"/>
    <w:rsid w:val="009140F9"/>
    <w:rsid w:val="009164C1"/>
    <w:rsid w:val="009175A2"/>
    <w:rsid w:val="00917AD2"/>
    <w:rsid w:val="0092013E"/>
    <w:rsid w:val="00925A8A"/>
    <w:rsid w:val="00930EBF"/>
    <w:rsid w:val="00934BD1"/>
    <w:rsid w:val="00934E7A"/>
    <w:rsid w:val="00937C34"/>
    <w:rsid w:val="009402C6"/>
    <w:rsid w:val="009403DE"/>
    <w:rsid w:val="009409E6"/>
    <w:rsid w:val="00940EB1"/>
    <w:rsid w:val="00942079"/>
    <w:rsid w:val="00942ECE"/>
    <w:rsid w:val="00944A50"/>
    <w:rsid w:val="00944F3F"/>
    <w:rsid w:val="009454DC"/>
    <w:rsid w:val="00950A0D"/>
    <w:rsid w:val="0095118B"/>
    <w:rsid w:val="00954E7E"/>
    <w:rsid w:val="0095665D"/>
    <w:rsid w:val="009567EB"/>
    <w:rsid w:val="009569EC"/>
    <w:rsid w:val="00957D31"/>
    <w:rsid w:val="0096117A"/>
    <w:rsid w:val="00962EAF"/>
    <w:rsid w:val="00963261"/>
    <w:rsid w:val="00966A34"/>
    <w:rsid w:val="00967DAB"/>
    <w:rsid w:val="00970700"/>
    <w:rsid w:val="00970DAA"/>
    <w:rsid w:val="00971CB4"/>
    <w:rsid w:val="009727FD"/>
    <w:rsid w:val="00974E8E"/>
    <w:rsid w:val="0097734B"/>
    <w:rsid w:val="00980371"/>
    <w:rsid w:val="009812E9"/>
    <w:rsid w:val="00983072"/>
    <w:rsid w:val="00993851"/>
    <w:rsid w:val="009A0031"/>
    <w:rsid w:val="009A136F"/>
    <w:rsid w:val="009A1D69"/>
    <w:rsid w:val="009A639B"/>
    <w:rsid w:val="009B27F1"/>
    <w:rsid w:val="009B3504"/>
    <w:rsid w:val="009B41F9"/>
    <w:rsid w:val="009B5160"/>
    <w:rsid w:val="009B607F"/>
    <w:rsid w:val="009C068F"/>
    <w:rsid w:val="009C0F25"/>
    <w:rsid w:val="009C140C"/>
    <w:rsid w:val="009C21BF"/>
    <w:rsid w:val="009C79F0"/>
    <w:rsid w:val="009D0AD8"/>
    <w:rsid w:val="009D2B59"/>
    <w:rsid w:val="009D79BD"/>
    <w:rsid w:val="009D7BF9"/>
    <w:rsid w:val="009E1775"/>
    <w:rsid w:val="009E5AB2"/>
    <w:rsid w:val="009F04BF"/>
    <w:rsid w:val="009F308D"/>
    <w:rsid w:val="009F37F1"/>
    <w:rsid w:val="009F44FC"/>
    <w:rsid w:val="009F4CB1"/>
    <w:rsid w:val="00A03543"/>
    <w:rsid w:val="00A03C67"/>
    <w:rsid w:val="00A04B56"/>
    <w:rsid w:val="00A05951"/>
    <w:rsid w:val="00A06611"/>
    <w:rsid w:val="00A07636"/>
    <w:rsid w:val="00A109AA"/>
    <w:rsid w:val="00A1143D"/>
    <w:rsid w:val="00A1270B"/>
    <w:rsid w:val="00A12BBE"/>
    <w:rsid w:val="00A218FA"/>
    <w:rsid w:val="00A2242B"/>
    <w:rsid w:val="00A2402F"/>
    <w:rsid w:val="00A2440A"/>
    <w:rsid w:val="00A24C3C"/>
    <w:rsid w:val="00A24F8B"/>
    <w:rsid w:val="00A27793"/>
    <w:rsid w:val="00A34C2B"/>
    <w:rsid w:val="00A35CA8"/>
    <w:rsid w:val="00A366E3"/>
    <w:rsid w:val="00A37FC5"/>
    <w:rsid w:val="00A40C50"/>
    <w:rsid w:val="00A45802"/>
    <w:rsid w:val="00A5227B"/>
    <w:rsid w:val="00A525B6"/>
    <w:rsid w:val="00A6297F"/>
    <w:rsid w:val="00A631A9"/>
    <w:rsid w:val="00A63A5B"/>
    <w:rsid w:val="00A656B5"/>
    <w:rsid w:val="00A6577F"/>
    <w:rsid w:val="00A704CC"/>
    <w:rsid w:val="00A72069"/>
    <w:rsid w:val="00A76491"/>
    <w:rsid w:val="00A7664D"/>
    <w:rsid w:val="00A825D4"/>
    <w:rsid w:val="00A83778"/>
    <w:rsid w:val="00A85D7D"/>
    <w:rsid w:val="00A85F68"/>
    <w:rsid w:val="00A862B3"/>
    <w:rsid w:val="00A90286"/>
    <w:rsid w:val="00A90EA0"/>
    <w:rsid w:val="00A94C4B"/>
    <w:rsid w:val="00A96C44"/>
    <w:rsid w:val="00AA3E46"/>
    <w:rsid w:val="00AA48FE"/>
    <w:rsid w:val="00AB1EA8"/>
    <w:rsid w:val="00AC24C0"/>
    <w:rsid w:val="00AC4538"/>
    <w:rsid w:val="00AC5C83"/>
    <w:rsid w:val="00AC6043"/>
    <w:rsid w:val="00AD0D4D"/>
    <w:rsid w:val="00AD157C"/>
    <w:rsid w:val="00AD62E9"/>
    <w:rsid w:val="00AE31B3"/>
    <w:rsid w:val="00AE5922"/>
    <w:rsid w:val="00AE6A63"/>
    <w:rsid w:val="00AF2FEF"/>
    <w:rsid w:val="00B00850"/>
    <w:rsid w:val="00B026BC"/>
    <w:rsid w:val="00B0288D"/>
    <w:rsid w:val="00B02FA7"/>
    <w:rsid w:val="00B04112"/>
    <w:rsid w:val="00B05D1C"/>
    <w:rsid w:val="00B06EAD"/>
    <w:rsid w:val="00B11C1C"/>
    <w:rsid w:val="00B1235B"/>
    <w:rsid w:val="00B20755"/>
    <w:rsid w:val="00B24606"/>
    <w:rsid w:val="00B2748C"/>
    <w:rsid w:val="00B31D54"/>
    <w:rsid w:val="00B31FAD"/>
    <w:rsid w:val="00B40DBF"/>
    <w:rsid w:val="00B46C10"/>
    <w:rsid w:val="00B47FB3"/>
    <w:rsid w:val="00B558A3"/>
    <w:rsid w:val="00B55DF7"/>
    <w:rsid w:val="00B56161"/>
    <w:rsid w:val="00B604B8"/>
    <w:rsid w:val="00B613B2"/>
    <w:rsid w:val="00B637D3"/>
    <w:rsid w:val="00B6443D"/>
    <w:rsid w:val="00B709F4"/>
    <w:rsid w:val="00B72A80"/>
    <w:rsid w:val="00B73A06"/>
    <w:rsid w:val="00B76FA5"/>
    <w:rsid w:val="00B82D80"/>
    <w:rsid w:val="00B83599"/>
    <w:rsid w:val="00B9095A"/>
    <w:rsid w:val="00B94702"/>
    <w:rsid w:val="00BA0114"/>
    <w:rsid w:val="00BA1956"/>
    <w:rsid w:val="00BA2217"/>
    <w:rsid w:val="00BA51F1"/>
    <w:rsid w:val="00BA5656"/>
    <w:rsid w:val="00BA61E5"/>
    <w:rsid w:val="00BB1D1C"/>
    <w:rsid w:val="00BB2FC8"/>
    <w:rsid w:val="00BB51B3"/>
    <w:rsid w:val="00BC0B79"/>
    <w:rsid w:val="00BC232F"/>
    <w:rsid w:val="00BC4FC5"/>
    <w:rsid w:val="00BC55E0"/>
    <w:rsid w:val="00BC6AF9"/>
    <w:rsid w:val="00BD0933"/>
    <w:rsid w:val="00BD1C70"/>
    <w:rsid w:val="00BD2201"/>
    <w:rsid w:val="00BD4D46"/>
    <w:rsid w:val="00BD53C5"/>
    <w:rsid w:val="00BD61EA"/>
    <w:rsid w:val="00BD7E36"/>
    <w:rsid w:val="00BE4107"/>
    <w:rsid w:val="00BE4D93"/>
    <w:rsid w:val="00BE79BC"/>
    <w:rsid w:val="00BF2387"/>
    <w:rsid w:val="00C056A4"/>
    <w:rsid w:val="00C077E3"/>
    <w:rsid w:val="00C102F9"/>
    <w:rsid w:val="00C105FE"/>
    <w:rsid w:val="00C124EC"/>
    <w:rsid w:val="00C15329"/>
    <w:rsid w:val="00C15C4A"/>
    <w:rsid w:val="00C20C14"/>
    <w:rsid w:val="00C22F6F"/>
    <w:rsid w:val="00C25858"/>
    <w:rsid w:val="00C2706C"/>
    <w:rsid w:val="00C32017"/>
    <w:rsid w:val="00C340B0"/>
    <w:rsid w:val="00C34882"/>
    <w:rsid w:val="00C35E41"/>
    <w:rsid w:val="00C401DC"/>
    <w:rsid w:val="00C406CE"/>
    <w:rsid w:val="00C4172F"/>
    <w:rsid w:val="00C47CD6"/>
    <w:rsid w:val="00C51286"/>
    <w:rsid w:val="00C52775"/>
    <w:rsid w:val="00C556F7"/>
    <w:rsid w:val="00C66003"/>
    <w:rsid w:val="00C6794E"/>
    <w:rsid w:val="00C72A09"/>
    <w:rsid w:val="00C74C76"/>
    <w:rsid w:val="00C75A1C"/>
    <w:rsid w:val="00C81BEC"/>
    <w:rsid w:val="00C969E9"/>
    <w:rsid w:val="00CA1DB5"/>
    <w:rsid w:val="00CA509B"/>
    <w:rsid w:val="00CA5C13"/>
    <w:rsid w:val="00CA6CBA"/>
    <w:rsid w:val="00CB163F"/>
    <w:rsid w:val="00CB6683"/>
    <w:rsid w:val="00CC0B46"/>
    <w:rsid w:val="00CC1594"/>
    <w:rsid w:val="00CC32A4"/>
    <w:rsid w:val="00CD3CC7"/>
    <w:rsid w:val="00CD443E"/>
    <w:rsid w:val="00CE446A"/>
    <w:rsid w:val="00CF04F9"/>
    <w:rsid w:val="00CF0C8B"/>
    <w:rsid w:val="00CF0EC5"/>
    <w:rsid w:val="00CF0F3B"/>
    <w:rsid w:val="00CF1BEE"/>
    <w:rsid w:val="00CF1F54"/>
    <w:rsid w:val="00CF274E"/>
    <w:rsid w:val="00CF546C"/>
    <w:rsid w:val="00CF6F1A"/>
    <w:rsid w:val="00D0027B"/>
    <w:rsid w:val="00D047E2"/>
    <w:rsid w:val="00D12E08"/>
    <w:rsid w:val="00D20BB2"/>
    <w:rsid w:val="00D20DF4"/>
    <w:rsid w:val="00D21624"/>
    <w:rsid w:val="00D21C8D"/>
    <w:rsid w:val="00D21CD1"/>
    <w:rsid w:val="00D221BB"/>
    <w:rsid w:val="00D26AC5"/>
    <w:rsid w:val="00D30105"/>
    <w:rsid w:val="00D3607F"/>
    <w:rsid w:val="00D36821"/>
    <w:rsid w:val="00D36C87"/>
    <w:rsid w:val="00D40C68"/>
    <w:rsid w:val="00D51563"/>
    <w:rsid w:val="00D54419"/>
    <w:rsid w:val="00D55B0D"/>
    <w:rsid w:val="00D5604F"/>
    <w:rsid w:val="00D61FDD"/>
    <w:rsid w:val="00D67D7D"/>
    <w:rsid w:val="00D721D1"/>
    <w:rsid w:val="00D75F7A"/>
    <w:rsid w:val="00D81F2C"/>
    <w:rsid w:val="00D83D1C"/>
    <w:rsid w:val="00D842EB"/>
    <w:rsid w:val="00D87F67"/>
    <w:rsid w:val="00D92812"/>
    <w:rsid w:val="00D955EF"/>
    <w:rsid w:val="00DA061D"/>
    <w:rsid w:val="00DA1B33"/>
    <w:rsid w:val="00DA5F11"/>
    <w:rsid w:val="00DA61BB"/>
    <w:rsid w:val="00DA648C"/>
    <w:rsid w:val="00DB14CC"/>
    <w:rsid w:val="00DB7DF1"/>
    <w:rsid w:val="00DB7EFB"/>
    <w:rsid w:val="00DC0F0C"/>
    <w:rsid w:val="00DC67A8"/>
    <w:rsid w:val="00DC776B"/>
    <w:rsid w:val="00DD0208"/>
    <w:rsid w:val="00DD314A"/>
    <w:rsid w:val="00DD6260"/>
    <w:rsid w:val="00DD7C6C"/>
    <w:rsid w:val="00DE1920"/>
    <w:rsid w:val="00DE67E6"/>
    <w:rsid w:val="00DF36E7"/>
    <w:rsid w:val="00DF512D"/>
    <w:rsid w:val="00E01EC9"/>
    <w:rsid w:val="00E02BF3"/>
    <w:rsid w:val="00E03ED9"/>
    <w:rsid w:val="00E06560"/>
    <w:rsid w:val="00E07750"/>
    <w:rsid w:val="00E11B17"/>
    <w:rsid w:val="00E127E2"/>
    <w:rsid w:val="00E168F9"/>
    <w:rsid w:val="00E17282"/>
    <w:rsid w:val="00E222C6"/>
    <w:rsid w:val="00E22AD4"/>
    <w:rsid w:val="00E240EC"/>
    <w:rsid w:val="00E242B1"/>
    <w:rsid w:val="00E25B4B"/>
    <w:rsid w:val="00E26413"/>
    <w:rsid w:val="00E270E9"/>
    <w:rsid w:val="00E274F2"/>
    <w:rsid w:val="00E32DB5"/>
    <w:rsid w:val="00E34886"/>
    <w:rsid w:val="00E36AF0"/>
    <w:rsid w:val="00E41C51"/>
    <w:rsid w:val="00E42CB8"/>
    <w:rsid w:val="00E45FCA"/>
    <w:rsid w:val="00E50A94"/>
    <w:rsid w:val="00E50C26"/>
    <w:rsid w:val="00E53FE1"/>
    <w:rsid w:val="00E57931"/>
    <w:rsid w:val="00E62932"/>
    <w:rsid w:val="00E65179"/>
    <w:rsid w:val="00E6741A"/>
    <w:rsid w:val="00E70AE2"/>
    <w:rsid w:val="00E71A16"/>
    <w:rsid w:val="00E75B47"/>
    <w:rsid w:val="00E80CB5"/>
    <w:rsid w:val="00E80FE6"/>
    <w:rsid w:val="00E8312A"/>
    <w:rsid w:val="00E90262"/>
    <w:rsid w:val="00E90303"/>
    <w:rsid w:val="00E925A0"/>
    <w:rsid w:val="00E92E35"/>
    <w:rsid w:val="00E93DF4"/>
    <w:rsid w:val="00E94B11"/>
    <w:rsid w:val="00E94FF7"/>
    <w:rsid w:val="00E97879"/>
    <w:rsid w:val="00EA10BC"/>
    <w:rsid w:val="00EA1E37"/>
    <w:rsid w:val="00EA65FF"/>
    <w:rsid w:val="00EA79B8"/>
    <w:rsid w:val="00EB0ED6"/>
    <w:rsid w:val="00EB1818"/>
    <w:rsid w:val="00EB1C93"/>
    <w:rsid w:val="00EB70B0"/>
    <w:rsid w:val="00EC2417"/>
    <w:rsid w:val="00EC34BF"/>
    <w:rsid w:val="00EC5FBF"/>
    <w:rsid w:val="00ED33DB"/>
    <w:rsid w:val="00ED6C5C"/>
    <w:rsid w:val="00ED7C09"/>
    <w:rsid w:val="00EF508C"/>
    <w:rsid w:val="00F008CC"/>
    <w:rsid w:val="00F015B6"/>
    <w:rsid w:val="00F02B5F"/>
    <w:rsid w:val="00F053BB"/>
    <w:rsid w:val="00F11A08"/>
    <w:rsid w:val="00F13E29"/>
    <w:rsid w:val="00F157A8"/>
    <w:rsid w:val="00F17BD1"/>
    <w:rsid w:val="00F21AF9"/>
    <w:rsid w:val="00F2252E"/>
    <w:rsid w:val="00F226BA"/>
    <w:rsid w:val="00F26409"/>
    <w:rsid w:val="00F318F5"/>
    <w:rsid w:val="00F32CD2"/>
    <w:rsid w:val="00F416EC"/>
    <w:rsid w:val="00F41B1C"/>
    <w:rsid w:val="00F41F18"/>
    <w:rsid w:val="00F43E87"/>
    <w:rsid w:val="00F47341"/>
    <w:rsid w:val="00F510F7"/>
    <w:rsid w:val="00F51FEF"/>
    <w:rsid w:val="00F52537"/>
    <w:rsid w:val="00F54AE2"/>
    <w:rsid w:val="00F57597"/>
    <w:rsid w:val="00F604A5"/>
    <w:rsid w:val="00F612DD"/>
    <w:rsid w:val="00F615B7"/>
    <w:rsid w:val="00F61932"/>
    <w:rsid w:val="00F62E58"/>
    <w:rsid w:val="00F631A2"/>
    <w:rsid w:val="00F66CFF"/>
    <w:rsid w:val="00F709B1"/>
    <w:rsid w:val="00F71755"/>
    <w:rsid w:val="00F76C36"/>
    <w:rsid w:val="00F77A47"/>
    <w:rsid w:val="00F81526"/>
    <w:rsid w:val="00F86A29"/>
    <w:rsid w:val="00F87989"/>
    <w:rsid w:val="00F87A05"/>
    <w:rsid w:val="00F92FF5"/>
    <w:rsid w:val="00FA0133"/>
    <w:rsid w:val="00FA44CA"/>
    <w:rsid w:val="00FA4E07"/>
    <w:rsid w:val="00FA685D"/>
    <w:rsid w:val="00FB0CD0"/>
    <w:rsid w:val="00FB1658"/>
    <w:rsid w:val="00FB239D"/>
    <w:rsid w:val="00FB2505"/>
    <w:rsid w:val="00FB7A28"/>
    <w:rsid w:val="00FC08AD"/>
    <w:rsid w:val="00FC4EAE"/>
    <w:rsid w:val="00FC517C"/>
    <w:rsid w:val="00FC59BD"/>
    <w:rsid w:val="00FC76CB"/>
    <w:rsid w:val="00FC7AAA"/>
    <w:rsid w:val="00FD243F"/>
    <w:rsid w:val="00FD4D84"/>
    <w:rsid w:val="00FD5626"/>
    <w:rsid w:val="00FD7830"/>
    <w:rsid w:val="00FD79CE"/>
    <w:rsid w:val="00FD7BA5"/>
    <w:rsid w:val="00FE2FFD"/>
    <w:rsid w:val="00FE370E"/>
    <w:rsid w:val="00FE7907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ECB497"/>
  <w15:docId w15:val="{E6A14064-3D1B-4F9D-B503-F107B103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aliases w:val="Styl moj,Akapit z listą1,List Paragraph1,Akapit z listą11,podpunkt ankietyy,Bullets Points,Bullet1,aotm_załączniki,Table Legend,Dot pt,F5 List Paragraph,No Spacing1,List Paragraph Char Char Char,Indicator Text,Numbered Para,BulletPoints"/>
    <w:basedOn w:val="Normalny"/>
    <w:link w:val="AkapitzlistZnak"/>
    <w:uiPriority w:val="99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  <w:style w:type="paragraph" w:styleId="Poprawka">
    <w:name w:val="Revision"/>
    <w:hidden/>
    <w:uiPriority w:val="99"/>
    <w:semiHidden/>
    <w:rsid w:val="00F87A05"/>
    <w:rPr>
      <w:rFonts w:ascii="Minion" w:eastAsia="PMingLiU" w:hAnsi="Minion" w:cs="Calibri"/>
      <w:sz w:val="22"/>
      <w:szCs w:val="22"/>
      <w:lang w:val="en-US" w:eastAsia="ar-SA"/>
    </w:rPr>
  </w:style>
  <w:style w:type="character" w:customStyle="1" w:styleId="AkapitzlistZnak">
    <w:name w:val="Akapit z listą Znak"/>
    <w:aliases w:val="Styl moj Znak,Akapit z listą1 Znak,List Paragraph1 Znak,Akapit z listą11 Znak,podpunkt ankietyy Znak,Bullets Points Znak,Bullet1 Znak,aotm_załączniki Znak,Table Legend Znak,Dot pt Znak,F5 List Paragraph Znak,No Spacing1 Znak"/>
    <w:link w:val="Akapitzlist"/>
    <w:uiPriority w:val="99"/>
    <w:qFormat/>
    <w:locked/>
    <w:rsid w:val="006A4330"/>
    <w:rPr>
      <w:rFonts w:ascii="Minion" w:eastAsia="PMingLiU" w:hAnsi="Minion" w:cs="Calibri"/>
      <w:sz w:val="22"/>
      <w:szCs w:val="22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D62"/>
    <w:pPr>
      <w:suppressAutoHyphens w:val="0"/>
      <w:spacing w:line="240" w:lineRule="auto"/>
      <w:jc w:val="both"/>
    </w:pPr>
    <w:rPr>
      <w:rFonts w:ascii="Calibri" w:eastAsiaTheme="minorEastAsia" w:hAnsi="Calibri" w:cstheme="minorBidi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D62"/>
    <w:rPr>
      <w:rFonts w:ascii="Calibri" w:eastAsiaTheme="minorEastAsia" w:hAnsi="Calibri" w:cstheme="minorBidi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B46"/>
    <w:pPr>
      <w:suppressAutoHyphens/>
      <w:jc w:val="left"/>
    </w:pPr>
    <w:rPr>
      <w:rFonts w:ascii="Minion" w:eastAsia="PMingLiU" w:hAnsi="Minion" w:cs="Calibri"/>
      <w:b/>
      <w:bCs/>
      <w:lang w:val="en-US"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B46"/>
    <w:rPr>
      <w:rFonts w:ascii="Minion" w:eastAsia="PMingLiU" w:hAnsi="Minion" w:cs="Calibri"/>
      <w:b/>
      <w:bCs/>
      <w:lang w:val="en-US" w:eastAsia="ar-SA"/>
    </w:rPr>
  </w:style>
  <w:style w:type="character" w:customStyle="1" w:styleId="cf01">
    <w:name w:val="cf01"/>
    <w:basedOn w:val="Domylnaczcionkaakapitu"/>
    <w:rsid w:val="00F612D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382952"/>
    <w:rPr>
      <w:rFonts w:ascii="Segoe UI" w:hAnsi="Segoe UI" w:cs="Segoe UI" w:hint="default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FB16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011BA-9911-4413-9A52-AEB0002B02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5071</Words>
  <Characters>30427</Characters>
  <Application>Microsoft Office Word</Application>
  <DocSecurity>4</DocSecurity>
  <Lines>253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Oczkowski Mateusz</dc:creator>
  <cp:lastModifiedBy>Wilk Justyna</cp:lastModifiedBy>
  <cp:revision>2</cp:revision>
  <cp:lastPrinted>2015-10-28T10:42:00Z</cp:lastPrinted>
  <dcterms:created xsi:type="dcterms:W3CDTF">2025-12-11T09:24:00Z</dcterms:created>
  <dcterms:modified xsi:type="dcterms:W3CDTF">2025-12-11T09:24:00Z</dcterms:modified>
</cp:coreProperties>
</file>